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20FB" w14:textId="77777777" w:rsidR="007F68E3" w:rsidRDefault="0008742F" w:rsidP="003E4A9B">
      <w:pPr>
        <w:pStyle w:val="BAText"/>
        <w:rPr>
          <w:noProof/>
        </w:rPr>
      </w:pPr>
      <w:bookmarkStart w:id="0" w:name="_Hlk79496423"/>
      <w:r>
        <w:rPr>
          <w:noProof/>
        </w:rPr>
        <w:drawing>
          <wp:inline distT="0" distB="0" distL="0" distR="0" wp14:anchorId="63A7AFE7" wp14:editId="331416D2">
            <wp:extent cx="1942185" cy="862330"/>
            <wp:effectExtent l="0" t="0" r="127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4492" cy="876674"/>
                    </a:xfrm>
                    <a:prstGeom prst="rect">
                      <a:avLst/>
                    </a:prstGeom>
                  </pic:spPr>
                </pic:pic>
              </a:graphicData>
            </a:graphic>
          </wp:inline>
        </w:drawing>
      </w:r>
      <w:r w:rsidR="008B49D2">
        <w:rPr>
          <w:noProof/>
        </w:rPr>
        <w:t xml:space="preserve">     </w:t>
      </w:r>
      <w:r w:rsidR="00CB2638">
        <w:rPr>
          <w:noProof/>
        </w:rPr>
        <w:t xml:space="preserve"> </w:t>
      </w:r>
      <w:r>
        <w:rPr>
          <w:noProof/>
        </w:rPr>
        <w:drawing>
          <wp:inline distT="0" distB="0" distL="0" distR="0" wp14:anchorId="24BC5154" wp14:editId="6788D197">
            <wp:extent cx="1823720" cy="783356"/>
            <wp:effectExtent l="0" t="0" r="5080" b="0"/>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Tex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854217" cy="796456"/>
                    </a:xfrm>
                    <a:prstGeom prst="rect">
                      <a:avLst/>
                    </a:prstGeom>
                  </pic:spPr>
                </pic:pic>
              </a:graphicData>
            </a:graphic>
          </wp:inline>
        </w:drawing>
      </w:r>
      <w:r w:rsidR="008B49D2">
        <w:rPr>
          <w:noProof/>
        </w:rPr>
        <w:t xml:space="preserve">    </w:t>
      </w:r>
      <w:r w:rsidR="00DC3AE0">
        <w:rPr>
          <w:noProof/>
        </w:rPr>
        <w:drawing>
          <wp:inline distT="0" distB="0" distL="0" distR="0" wp14:anchorId="06DD720A" wp14:editId="786C977C">
            <wp:extent cx="2367072" cy="7124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5581" cy="727071"/>
                    </a:xfrm>
                    <a:prstGeom prst="rect">
                      <a:avLst/>
                    </a:prstGeom>
                    <a:noFill/>
                    <a:ln>
                      <a:noFill/>
                    </a:ln>
                  </pic:spPr>
                </pic:pic>
              </a:graphicData>
            </a:graphic>
          </wp:inline>
        </w:drawing>
      </w:r>
    </w:p>
    <w:p w14:paraId="7AA225C8" w14:textId="77777777" w:rsidR="00871654" w:rsidRPr="00871654" w:rsidRDefault="00871654" w:rsidP="003E4A9B">
      <w:pPr>
        <w:pStyle w:val="BAText"/>
        <w:rPr>
          <w:rFonts w:eastAsia="Calibri"/>
        </w:rPr>
      </w:pPr>
    </w:p>
    <w:p w14:paraId="39905960" w14:textId="77777777" w:rsidR="0008742F" w:rsidRPr="0008742F" w:rsidRDefault="000C6E1A" w:rsidP="000C6E1A">
      <w:pPr>
        <w:pStyle w:val="KeinLeerraum"/>
        <w:pBdr>
          <w:top w:val="single" w:sz="6" w:space="6" w:color="4F81BD" w:themeColor="accent1"/>
          <w:bottom w:val="single" w:sz="6" w:space="6" w:color="4F81BD" w:themeColor="accent1"/>
        </w:pBdr>
        <w:spacing w:after="240"/>
        <w:jc w:val="center"/>
        <w:rPr>
          <w:rFonts w:ascii="Open Sans" w:eastAsiaTheme="majorEastAsia" w:hAnsi="Open Sans" w:cs="Open Sans"/>
          <w:b/>
          <w:bCs/>
          <w:caps/>
          <w:color w:val="4F81BD" w:themeColor="accent1"/>
          <w:sz w:val="80"/>
          <w:szCs w:val="80"/>
        </w:rPr>
      </w:pPr>
      <w:r>
        <w:rPr>
          <w:rFonts w:ascii="Open Sans" w:eastAsiaTheme="majorEastAsia" w:hAnsi="Open Sans" w:cs="Open Sans"/>
          <w:b/>
          <w:bCs/>
          <w:i/>
          <w:iCs/>
          <w:caps/>
          <w:color w:val="003399"/>
          <w:sz w:val="72"/>
          <w:szCs w:val="72"/>
        </w:rPr>
        <w:t>BRÜSSEL AKTUELL</w:t>
      </w:r>
    </w:p>
    <w:p w14:paraId="71C18B1E" w14:textId="6A122D17" w:rsidR="000C6E1A" w:rsidRPr="001F65B9" w:rsidRDefault="00FD0AAC" w:rsidP="000C6E1A">
      <w:pPr>
        <w:spacing w:after="120"/>
        <w:jc w:val="center"/>
        <w:rPr>
          <w:rFonts w:ascii="Open Sans" w:hAnsi="Open Sans" w:cs="Open Sans"/>
          <w:b/>
          <w:bCs/>
          <w:color w:val="003399"/>
          <w:sz w:val="40"/>
          <w:szCs w:val="40"/>
        </w:rPr>
      </w:pPr>
      <w:r>
        <w:rPr>
          <w:rFonts w:ascii="Open Sans" w:hAnsi="Open Sans" w:cs="Open Sans"/>
          <w:b/>
          <w:bCs/>
          <w:color w:val="003399"/>
          <w:sz w:val="40"/>
          <w:szCs w:val="40"/>
        </w:rPr>
        <w:t>11</w:t>
      </w:r>
      <w:r w:rsidR="000C6E1A" w:rsidRPr="001F65B9">
        <w:rPr>
          <w:rFonts w:ascii="Open Sans" w:hAnsi="Open Sans" w:cs="Open Sans"/>
          <w:b/>
          <w:bCs/>
          <w:color w:val="003399"/>
          <w:sz w:val="40"/>
          <w:szCs w:val="40"/>
        </w:rPr>
        <w:t>/202</w:t>
      </w:r>
      <w:r w:rsidR="000C6E1A">
        <w:rPr>
          <w:rFonts w:ascii="Open Sans" w:hAnsi="Open Sans" w:cs="Open Sans"/>
          <w:b/>
          <w:bCs/>
          <w:color w:val="003399"/>
          <w:sz w:val="40"/>
          <w:szCs w:val="40"/>
        </w:rPr>
        <w:t>3</w:t>
      </w:r>
    </w:p>
    <w:p w14:paraId="2902F689" w14:textId="03EAB4D4" w:rsidR="000C6E1A" w:rsidRDefault="00FD0AAC" w:rsidP="000C6E1A">
      <w:pPr>
        <w:jc w:val="center"/>
        <w:rPr>
          <w:rFonts w:ascii="Open Sans" w:hAnsi="Open Sans" w:cs="Open Sans"/>
        </w:rPr>
      </w:pPr>
      <w:r>
        <w:rPr>
          <w:rFonts w:ascii="Open Sans" w:hAnsi="Open Sans" w:cs="Open Sans"/>
        </w:rPr>
        <w:t>26. Mai</w:t>
      </w:r>
      <w:r w:rsidR="000C6E1A" w:rsidRPr="008B49D2">
        <w:rPr>
          <w:rFonts w:ascii="Open Sans" w:hAnsi="Open Sans" w:cs="Open Sans"/>
        </w:rPr>
        <w:t xml:space="preserve"> bis </w:t>
      </w:r>
      <w:r>
        <w:rPr>
          <w:rFonts w:ascii="Open Sans" w:hAnsi="Open Sans" w:cs="Open Sans"/>
        </w:rPr>
        <w:t>9</w:t>
      </w:r>
      <w:r w:rsidR="000C6E1A">
        <w:rPr>
          <w:rFonts w:ascii="Open Sans" w:hAnsi="Open Sans" w:cs="Open Sans"/>
        </w:rPr>
        <w:t xml:space="preserve">. </w:t>
      </w:r>
      <w:r>
        <w:rPr>
          <w:rFonts w:ascii="Open Sans" w:hAnsi="Open Sans" w:cs="Open Sans"/>
        </w:rPr>
        <w:t>Juni</w:t>
      </w:r>
      <w:r w:rsidR="000C6E1A">
        <w:rPr>
          <w:rFonts w:ascii="Open Sans" w:hAnsi="Open Sans" w:cs="Open Sans"/>
        </w:rPr>
        <w:t xml:space="preserve"> 2023</w:t>
      </w:r>
    </w:p>
    <w:p w14:paraId="71B8AA54" w14:textId="77777777" w:rsidR="008B49D2" w:rsidRPr="00785ABE" w:rsidRDefault="008B49D2" w:rsidP="003E4A9B">
      <w:pPr>
        <w:pStyle w:val="BAText"/>
      </w:pPr>
    </w:p>
    <w:p w14:paraId="17B2AF48" w14:textId="4FC60701" w:rsidR="00DD78D3" w:rsidRDefault="00AE13F8">
      <w:pPr>
        <w:pStyle w:val="Verzeichnis1"/>
        <w:rPr>
          <w:rFonts w:asciiTheme="minorHAnsi" w:eastAsiaTheme="minorEastAsia" w:hAnsiTheme="minorHAnsi" w:cstheme="minorBidi"/>
          <w:b w:val="0"/>
          <w:bCs w:val="0"/>
          <w:noProof/>
          <w:color w:val="auto"/>
          <w:kern w:val="2"/>
          <w:sz w:val="22"/>
          <w:szCs w:val="22"/>
          <w:lang w:val="de-BE" w:eastAsia="de-BE"/>
          <w14:ligatures w14:val="standardContextual"/>
        </w:rPr>
      </w:pPr>
      <w:r w:rsidRPr="00C36206">
        <w:rPr>
          <w:rFonts w:cstheme="minorBidi"/>
          <w:szCs w:val="22"/>
        </w:rPr>
        <w:fldChar w:fldCharType="begin"/>
      </w:r>
      <w:r w:rsidRPr="00C36206">
        <w:instrText xml:space="preserve"> TOC \o "1-1" \n 1-1 \p " " \h \z \t "BA Titel;2" </w:instrText>
      </w:r>
      <w:r w:rsidRPr="00C36206">
        <w:rPr>
          <w:rFonts w:cstheme="minorBidi"/>
          <w:szCs w:val="22"/>
        </w:rPr>
        <w:fldChar w:fldCharType="separate"/>
      </w:r>
      <w:hyperlink w:anchor="_Toc137201566" w:history="1">
        <w:r w:rsidR="00DD78D3" w:rsidRPr="00E702A6">
          <w:rPr>
            <w:rStyle w:val="Hyperlink"/>
            <w:noProof/>
          </w:rPr>
          <w:t>Wettbewerb, Wirtschaft und Finanzen</w:t>
        </w:r>
      </w:hyperlink>
    </w:p>
    <w:p w14:paraId="3CFB1414" w14:textId="1328224F"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67" w:history="1">
        <w:r w:rsidRPr="00E702A6">
          <w:rPr>
            <w:rStyle w:val="Hyperlink"/>
            <w:noProof/>
          </w:rPr>
          <w:t>Wirtschaft: Frühjahrspaket des Europäischen Semesters 2023 vorgelegt</w:t>
        </w:r>
        <w:r>
          <w:rPr>
            <w:noProof/>
            <w:webHidden/>
          </w:rPr>
          <w:t xml:space="preserve"> </w:t>
        </w:r>
        <w:r>
          <w:rPr>
            <w:noProof/>
            <w:webHidden/>
          </w:rPr>
          <w:tab/>
        </w:r>
        <w:r>
          <w:rPr>
            <w:noProof/>
            <w:webHidden/>
          </w:rPr>
          <w:fldChar w:fldCharType="begin"/>
        </w:r>
        <w:r>
          <w:rPr>
            <w:noProof/>
            <w:webHidden/>
          </w:rPr>
          <w:instrText xml:space="preserve"> PAGEREF _Toc137201567 \h </w:instrText>
        </w:r>
        <w:r>
          <w:rPr>
            <w:noProof/>
            <w:webHidden/>
          </w:rPr>
        </w:r>
        <w:r>
          <w:rPr>
            <w:noProof/>
            <w:webHidden/>
          </w:rPr>
          <w:fldChar w:fldCharType="separate"/>
        </w:r>
        <w:r>
          <w:rPr>
            <w:noProof/>
            <w:webHidden/>
          </w:rPr>
          <w:t>2</w:t>
        </w:r>
        <w:r>
          <w:rPr>
            <w:noProof/>
            <w:webHidden/>
          </w:rPr>
          <w:fldChar w:fldCharType="end"/>
        </w:r>
      </w:hyperlink>
    </w:p>
    <w:p w14:paraId="073E2294" w14:textId="05B8F32A"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68" w:history="1">
        <w:r w:rsidRPr="00E702A6">
          <w:rPr>
            <w:rStyle w:val="Hyperlink"/>
            <w:noProof/>
          </w:rPr>
          <w:t>Schutz geografischer Angaben: Parlament legt Standpunkt fest</w:t>
        </w:r>
        <w:r>
          <w:rPr>
            <w:noProof/>
            <w:webHidden/>
          </w:rPr>
          <w:t xml:space="preserve"> </w:t>
        </w:r>
        <w:r>
          <w:rPr>
            <w:noProof/>
            <w:webHidden/>
          </w:rPr>
          <w:tab/>
        </w:r>
        <w:r>
          <w:rPr>
            <w:noProof/>
            <w:webHidden/>
          </w:rPr>
          <w:fldChar w:fldCharType="begin"/>
        </w:r>
        <w:r>
          <w:rPr>
            <w:noProof/>
            <w:webHidden/>
          </w:rPr>
          <w:instrText xml:space="preserve"> PAGEREF _Toc137201568 \h </w:instrText>
        </w:r>
        <w:r>
          <w:rPr>
            <w:noProof/>
            <w:webHidden/>
          </w:rPr>
        </w:r>
        <w:r>
          <w:rPr>
            <w:noProof/>
            <w:webHidden/>
          </w:rPr>
          <w:fldChar w:fldCharType="separate"/>
        </w:r>
        <w:r>
          <w:rPr>
            <w:noProof/>
            <w:webHidden/>
          </w:rPr>
          <w:t>2</w:t>
        </w:r>
        <w:r>
          <w:rPr>
            <w:noProof/>
            <w:webHidden/>
          </w:rPr>
          <w:fldChar w:fldCharType="end"/>
        </w:r>
      </w:hyperlink>
    </w:p>
    <w:p w14:paraId="75C13D09" w14:textId="23554A28"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69" w:history="1">
        <w:r w:rsidRPr="00E702A6">
          <w:rPr>
            <w:rStyle w:val="Hyperlink"/>
            <w:noProof/>
          </w:rPr>
          <w:t>Aufbau und Resilienzfazilität: Interaktive Karte veröffentlicht</w:t>
        </w:r>
        <w:r>
          <w:rPr>
            <w:noProof/>
            <w:webHidden/>
          </w:rPr>
          <w:t xml:space="preserve"> </w:t>
        </w:r>
        <w:r>
          <w:rPr>
            <w:noProof/>
            <w:webHidden/>
          </w:rPr>
          <w:tab/>
        </w:r>
        <w:r>
          <w:rPr>
            <w:noProof/>
            <w:webHidden/>
          </w:rPr>
          <w:fldChar w:fldCharType="begin"/>
        </w:r>
        <w:r>
          <w:rPr>
            <w:noProof/>
            <w:webHidden/>
          </w:rPr>
          <w:instrText xml:space="preserve"> PAGEREF _Toc137201569 \h </w:instrText>
        </w:r>
        <w:r>
          <w:rPr>
            <w:noProof/>
            <w:webHidden/>
          </w:rPr>
        </w:r>
        <w:r>
          <w:rPr>
            <w:noProof/>
            <w:webHidden/>
          </w:rPr>
          <w:fldChar w:fldCharType="separate"/>
        </w:r>
        <w:r>
          <w:rPr>
            <w:noProof/>
            <w:webHidden/>
          </w:rPr>
          <w:t>2</w:t>
        </w:r>
        <w:r>
          <w:rPr>
            <w:noProof/>
            <w:webHidden/>
          </w:rPr>
          <w:fldChar w:fldCharType="end"/>
        </w:r>
      </w:hyperlink>
    </w:p>
    <w:p w14:paraId="114F8818" w14:textId="77777777" w:rsidR="00DD78D3" w:rsidRDefault="00DD78D3">
      <w:pPr>
        <w:pStyle w:val="Verzeichnis1"/>
        <w:rPr>
          <w:rFonts w:asciiTheme="minorHAnsi" w:eastAsiaTheme="minorEastAsia" w:hAnsiTheme="minorHAnsi" w:cstheme="minorBidi"/>
          <w:b w:val="0"/>
          <w:bCs w:val="0"/>
          <w:noProof/>
          <w:color w:val="auto"/>
          <w:kern w:val="2"/>
          <w:sz w:val="22"/>
          <w:szCs w:val="22"/>
          <w:lang w:val="de-BE" w:eastAsia="de-BE"/>
          <w14:ligatures w14:val="standardContextual"/>
        </w:rPr>
      </w:pPr>
      <w:hyperlink w:anchor="_Toc137201570" w:history="1">
        <w:r w:rsidRPr="00E702A6">
          <w:rPr>
            <w:rStyle w:val="Hyperlink"/>
            <w:noProof/>
          </w:rPr>
          <w:t>Umwelt, Energie und Verkehr</w:t>
        </w:r>
      </w:hyperlink>
    </w:p>
    <w:p w14:paraId="3324C415" w14:textId="25C28109"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71" w:history="1">
        <w:r w:rsidRPr="00E702A6">
          <w:rPr>
            <w:rStyle w:val="Hyperlink"/>
            <w:noProof/>
          </w:rPr>
          <w:t>Erneuerbare Energien: Rat verzögert Finalisierung von RED III</w:t>
        </w:r>
        <w:r>
          <w:rPr>
            <w:noProof/>
            <w:webHidden/>
          </w:rPr>
          <w:t xml:space="preserve"> </w:t>
        </w:r>
        <w:r>
          <w:rPr>
            <w:noProof/>
            <w:webHidden/>
          </w:rPr>
          <w:tab/>
        </w:r>
        <w:r>
          <w:rPr>
            <w:noProof/>
            <w:webHidden/>
          </w:rPr>
          <w:fldChar w:fldCharType="begin"/>
        </w:r>
        <w:r>
          <w:rPr>
            <w:noProof/>
            <w:webHidden/>
          </w:rPr>
          <w:instrText xml:space="preserve"> PAGEREF _Toc137201571 \h </w:instrText>
        </w:r>
        <w:r>
          <w:rPr>
            <w:noProof/>
            <w:webHidden/>
          </w:rPr>
        </w:r>
        <w:r>
          <w:rPr>
            <w:noProof/>
            <w:webHidden/>
          </w:rPr>
          <w:fldChar w:fldCharType="separate"/>
        </w:r>
        <w:r>
          <w:rPr>
            <w:noProof/>
            <w:webHidden/>
          </w:rPr>
          <w:t>3</w:t>
        </w:r>
        <w:r>
          <w:rPr>
            <w:noProof/>
            <w:webHidden/>
          </w:rPr>
          <w:fldChar w:fldCharType="end"/>
        </w:r>
      </w:hyperlink>
    </w:p>
    <w:p w14:paraId="2483186C" w14:textId="1A0AA757"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72" w:history="1">
        <w:r w:rsidRPr="00E702A6">
          <w:rPr>
            <w:rStyle w:val="Hyperlink"/>
            <w:noProof/>
          </w:rPr>
          <w:t>Grüner Deal I: Kommission veröffentlicht Leitfäden für Klimaanpassung von Gebäuden</w:t>
        </w:r>
        <w:r>
          <w:rPr>
            <w:noProof/>
            <w:webHidden/>
          </w:rPr>
          <w:t xml:space="preserve"> </w:t>
        </w:r>
        <w:r>
          <w:rPr>
            <w:noProof/>
            <w:webHidden/>
          </w:rPr>
          <w:tab/>
        </w:r>
        <w:r>
          <w:rPr>
            <w:noProof/>
            <w:webHidden/>
          </w:rPr>
          <w:fldChar w:fldCharType="begin"/>
        </w:r>
        <w:r>
          <w:rPr>
            <w:noProof/>
            <w:webHidden/>
          </w:rPr>
          <w:instrText xml:space="preserve"> PAGEREF _Toc137201572 \h </w:instrText>
        </w:r>
        <w:r>
          <w:rPr>
            <w:noProof/>
            <w:webHidden/>
          </w:rPr>
        </w:r>
        <w:r>
          <w:rPr>
            <w:noProof/>
            <w:webHidden/>
          </w:rPr>
          <w:fldChar w:fldCharType="separate"/>
        </w:r>
        <w:r>
          <w:rPr>
            <w:noProof/>
            <w:webHidden/>
          </w:rPr>
          <w:t>3</w:t>
        </w:r>
        <w:r>
          <w:rPr>
            <w:noProof/>
            <w:webHidden/>
          </w:rPr>
          <w:fldChar w:fldCharType="end"/>
        </w:r>
      </w:hyperlink>
    </w:p>
    <w:p w14:paraId="544CA2F4" w14:textId="31DCF43D"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73" w:history="1">
        <w:r w:rsidRPr="00E702A6">
          <w:rPr>
            <w:rStyle w:val="Hyperlink"/>
            <w:noProof/>
          </w:rPr>
          <w:t>Grüner Deal II: Aktuelle Entwicklungen zur Wiederherstellung der Natur</w:t>
        </w:r>
        <w:r>
          <w:rPr>
            <w:noProof/>
            <w:webHidden/>
          </w:rPr>
          <w:t xml:space="preserve"> </w:t>
        </w:r>
        <w:r>
          <w:rPr>
            <w:noProof/>
            <w:webHidden/>
          </w:rPr>
          <w:tab/>
        </w:r>
        <w:r>
          <w:rPr>
            <w:noProof/>
            <w:webHidden/>
          </w:rPr>
          <w:fldChar w:fldCharType="begin"/>
        </w:r>
        <w:r>
          <w:rPr>
            <w:noProof/>
            <w:webHidden/>
          </w:rPr>
          <w:instrText xml:space="preserve"> PAGEREF _Toc137201573 \h </w:instrText>
        </w:r>
        <w:r>
          <w:rPr>
            <w:noProof/>
            <w:webHidden/>
          </w:rPr>
        </w:r>
        <w:r>
          <w:rPr>
            <w:noProof/>
            <w:webHidden/>
          </w:rPr>
          <w:fldChar w:fldCharType="separate"/>
        </w:r>
        <w:r>
          <w:rPr>
            <w:noProof/>
            <w:webHidden/>
          </w:rPr>
          <w:t>3</w:t>
        </w:r>
        <w:r>
          <w:rPr>
            <w:noProof/>
            <w:webHidden/>
          </w:rPr>
          <w:fldChar w:fldCharType="end"/>
        </w:r>
      </w:hyperlink>
    </w:p>
    <w:p w14:paraId="1B143B91" w14:textId="049283F5"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74" w:history="1">
        <w:r w:rsidRPr="00E702A6">
          <w:rPr>
            <w:rStyle w:val="Hyperlink"/>
            <w:noProof/>
          </w:rPr>
          <w:t>Vertragsverletzungsverfahren: Kommission stellt das Verfahren zu Nitrat ein</w:t>
        </w:r>
        <w:r>
          <w:rPr>
            <w:noProof/>
            <w:webHidden/>
          </w:rPr>
          <w:t xml:space="preserve"> </w:t>
        </w:r>
        <w:r>
          <w:rPr>
            <w:noProof/>
            <w:webHidden/>
          </w:rPr>
          <w:tab/>
        </w:r>
        <w:r>
          <w:rPr>
            <w:noProof/>
            <w:webHidden/>
          </w:rPr>
          <w:fldChar w:fldCharType="begin"/>
        </w:r>
        <w:r>
          <w:rPr>
            <w:noProof/>
            <w:webHidden/>
          </w:rPr>
          <w:instrText xml:space="preserve"> PAGEREF _Toc137201574 \h </w:instrText>
        </w:r>
        <w:r>
          <w:rPr>
            <w:noProof/>
            <w:webHidden/>
          </w:rPr>
        </w:r>
        <w:r>
          <w:rPr>
            <w:noProof/>
            <w:webHidden/>
          </w:rPr>
          <w:fldChar w:fldCharType="separate"/>
        </w:r>
        <w:r>
          <w:rPr>
            <w:noProof/>
            <w:webHidden/>
          </w:rPr>
          <w:t>4</w:t>
        </w:r>
        <w:r>
          <w:rPr>
            <w:noProof/>
            <w:webHidden/>
          </w:rPr>
          <w:fldChar w:fldCharType="end"/>
        </w:r>
      </w:hyperlink>
    </w:p>
    <w:p w14:paraId="723DE3BE" w14:textId="77777777" w:rsidR="00DD78D3" w:rsidRDefault="00DD78D3">
      <w:pPr>
        <w:pStyle w:val="Verzeichnis1"/>
        <w:rPr>
          <w:rFonts w:asciiTheme="minorHAnsi" w:eastAsiaTheme="minorEastAsia" w:hAnsiTheme="minorHAnsi" w:cstheme="minorBidi"/>
          <w:b w:val="0"/>
          <w:bCs w:val="0"/>
          <w:noProof/>
          <w:color w:val="auto"/>
          <w:kern w:val="2"/>
          <w:sz w:val="22"/>
          <w:szCs w:val="22"/>
          <w:lang w:val="de-BE" w:eastAsia="de-BE"/>
          <w14:ligatures w14:val="standardContextual"/>
        </w:rPr>
      </w:pPr>
      <w:hyperlink w:anchor="_Toc137201575" w:history="1">
        <w:r w:rsidRPr="00E702A6">
          <w:rPr>
            <w:rStyle w:val="Hyperlink"/>
            <w:noProof/>
          </w:rPr>
          <w:t>Regionalpolitik, Städte und ländliche Entwicklung</w:t>
        </w:r>
      </w:hyperlink>
    </w:p>
    <w:p w14:paraId="4B56E775" w14:textId="03DCFF89"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76" w:history="1">
        <w:r w:rsidRPr="00E702A6">
          <w:rPr>
            <w:rStyle w:val="Hyperlink"/>
            <w:noProof/>
          </w:rPr>
          <w:t>URBACT: 30 neue Aktionsplanungs-Netzwerke</w:t>
        </w:r>
        <w:r>
          <w:rPr>
            <w:noProof/>
            <w:webHidden/>
          </w:rPr>
          <w:t xml:space="preserve"> </w:t>
        </w:r>
        <w:r>
          <w:rPr>
            <w:noProof/>
            <w:webHidden/>
          </w:rPr>
          <w:tab/>
        </w:r>
        <w:r>
          <w:rPr>
            <w:noProof/>
            <w:webHidden/>
          </w:rPr>
          <w:fldChar w:fldCharType="begin"/>
        </w:r>
        <w:r>
          <w:rPr>
            <w:noProof/>
            <w:webHidden/>
          </w:rPr>
          <w:instrText xml:space="preserve"> PAGEREF _Toc137201576 \h </w:instrText>
        </w:r>
        <w:r>
          <w:rPr>
            <w:noProof/>
            <w:webHidden/>
          </w:rPr>
        </w:r>
        <w:r>
          <w:rPr>
            <w:noProof/>
            <w:webHidden/>
          </w:rPr>
          <w:fldChar w:fldCharType="separate"/>
        </w:r>
        <w:r>
          <w:rPr>
            <w:noProof/>
            <w:webHidden/>
          </w:rPr>
          <w:t>4</w:t>
        </w:r>
        <w:r>
          <w:rPr>
            <w:noProof/>
            <w:webHidden/>
          </w:rPr>
          <w:fldChar w:fldCharType="end"/>
        </w:r>
      </w:hyperlink>
    </w:p>
    <w:p w14:paraId="5FFA6206" w14:textId="77777777" w:rsidR="00DD78D3" w:rsidRDefault="00DD78D3">
      <w:pPr>
        <w:pStyle w:val="Verzeichnis1"/>
        <w:rPr>
          <w:rFonts w:asciiTheme="minorHAnsi" w:eastAsiaTheme="minorEastAsia" w:hAnsiTheme="minorHAnsi" w:cstheme="minorBidi"/>
          <w:b w:val="0"/>
          <w:bCs w:val="0"/>
          <w:noProof/>
          <w:color w:val="auto"/>
          <w:kern w:val="2"/>
          <w:sz w:val="22"/>
          <w:szCs w:val="22"/>
          <w:lang w:val="de-BE" w:eastAsia="de-BE"/>
          <w14:ligatures w14:val="standardContextual"/>
        </w:rPr>
      </w:pPr>
      <w:hyperlink w:anchor="_Toc137201577" w:history="1">
        <w:r w:rsidRPr="00E702A6">
          <w:rPr>
            <w:rStyle w:val="Hyperlink"/>
            <w:noProof/>
          </w:rPr>
          <w:t>Soziales, Bildung und Kultur</w:t>
        </w:r>
      </w:hyperlink>
    </w:p>
    <w:p w14:paraId="238F56F3" w14:textId="5043E0B8"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78" w:history="1">
        <w:r w:rsidRPr="00E702A6">
          <w:rPr>
            <w:rStyle w:val="Hyperlink"/>
            <w:noProof/>
          </w:rPr>
          <w:t>Gesundheit: Initiative zur psychischen Gesundheit</w:t>
        </w:r>
        <w:r>
          <w:rPr>
            <w:noProof/>
            <w:webHidden/>
          </w:rPr>
          <w:t xml:space="preserve"> </w:t>
        </w:r>
        <w:r>
          <w:rPr>
            <w:noProof/>
            <w:webHidden/>
          </w:rPr>
          <w:tab/>
        </w:r>
        <w:r>
          <w:rPr>
            <w:noProof/>
            <w:webHidden/>
          </w:rPr>
          <w:fldChar w:fldCharType="begin"/>
        </w:r>
        <w:r>
          <w:rPr>
            <w:noProof/>
            <w:webHidden/>
          </w:rPr>
          <w:instrText xml:space="preserve"> PAGEREF _Toc137201578 \h </w:instrText>
        </w:r>
        <w:r>
          <w:rPr>
            <w:noProof/>
            <w:webHidden/>
          </w:rPr>
        </w:r>
        <w:r>
          <w:rPr>
            <w:noProof/>
            <w:webHidden/>
          </w:rPr>
          <w:fldChar w:fldCharType="separate"/>
        </w:r>
        <w:r>
          <w:rPr>
            <w:noProof/>
            <w:webHidden/>
          </w:rPr>
          <w:t>4</w:t>
        </w:r>
        <w:r>
          <w:rPr>
            <w:noProof/>
            <w:webHidden/>
          </w:rPr>
          <w:fldChar w:fldCharType="end"/>
        </w:r>
      </w:hyperlink>
    </w:p>
    <w:p w14:paraId="4D0768CA" w14:textId="5710C44A"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79" w:history="1">
        <w:r w:rsidRPr="00E702A6">
          <w:rPr>
            <w:rStyle w:val="Hyperlink"/>
            <w:noProof/>
          </w:rPr>
          <w:t>Grenzüberschreitende Rechtsverfahren: Stärkung schutzbedürftiger Erwachsener</w:t>
        </w:r>
        <w:r>
          <w:rPr>
            <w:noProof/>
            <w:webHidden/>
          </w:rPr>
          <w:t xml:space="preserve"> </w:t>
        </w:r>
        <w:r>
          <w:rPr>
            <w:noProof/>
            <w:webHidden/>
          </w:rPr>
          <w:tab/>
        </w:r>
        <w:r>
          <w:rPr>
            <w:noProof/>
            <w:webHidden/>
          </w:rPr>
          <w:fldChar w:fldCharType="begin"/>
        </w:r>
        <w:r>
          <w:rPr>
            <w:noProof/>
            <w:webHidden/>
          </w:rPr>
          <w:instrText xml:space="preserve"> PAGEREF _Toc137201579 \h </w:instrText>
        </w:r>
        <w:r>
          <w:rPr>
            <w:noProof/>
            <w:webHidden/>
          </w:rPr>
        </w:r>
        <w:r>
          <w:rPr>
            <w:noProof/>
            <w:webHidden/>
          </w:rPr>
          <w:fldChar w:fldCharType="separate"/>
        </w:r>
        <w:r>
          <w:rPr>
            <w:noProof/>
            <w:webHidden/>
          </w:rPr>
          <w:t>5</w:t>
        </w:r>
        <w:r>
          <w:rPr>
            <w:noProof/>
            <w:webHidden/>
          </w:rPr>
          <w:fldChar w:fldCharType="end"/>
        </w:r>
      </w:hyperlink>
    </w:p>
    <w:p w14:paraId="304BF649" w14:textId="394735BB"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80" w:history="1">
        <w:r w:rsidRPr="00E702A6">
          <w:rPr>
            <w:rStyle w:val="Hyperlink"/>
            <w:noProof/>
          </w:rPr>
          <w:t>Migration I: Instrumentarium gegen Schleusungen über gewerbliche Beförderer</w:t>
        </w:r>
        <w:r>
          <w:rPr>
            <w:noProof/>
            <w:webHidden/>
          </w:rPr>
          <w:t xml:space="preserve"> </w:t>
        </w:r>
        <w:r>
          <w:rPr>
            <w:noProof/>
            <w:webHidden/>
          </w:rPr>
          <w:tab/>
        </w:r>
        <w:r>
          <w:rPr>
            <w:noProof/>
            <w:webHidden/>
          </w:rPr>
          <w:fldChar w:fldCharType="begin"/>
        </w:r>
        <w:r>
          <w:rPr>
            <w:noProof/>
            <w:webHidden/>
          </w:rPr>
          <w:instrText xml:space="preserve"> PAGEREF _Toc137201580 \h </w:instrText>
        </w:r>
        <w:r>
          <w:rPr>
            <w:noProof/>
            <w:webHidden/>
          </w:rPr>
        </w:r>
        <w:r>
          <w:rPr>
            <w:noProof/>
            <w:webHidden/>
          </w:rPr>
          <w:fldChar w:fldCharType="separate"/>
        </w:r>
        <w:r>
          <w:rPr>
            <w:noProof/>
            <w:webHidden/>
          </w:rPr>
          <w:t>6</w:t>
        </w:r>
        <w:r>
          <w:rPr>
            <w:noProof/>
            <w:webHidden/>
          </w:rPr>
          <w:fldChar w:fldCharType="end"/>
        </w:r>
      </w:hyperlink>
    </w:p>
    <w:p w14:paraId="6D340D62" w14:textId="7BE52185"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81" w:history="1">
        <w:r w:rsidRPr="00E702A6">
          <w:rPr>
            <w:rStyle w:val="Hyperlink"/>
            <w:noProof/>
          </w:rPr>
          <w:t>Migration II: Kommission schlägt Aktionsplan für Mittelmeer- und Atlantikroute vor</w:t>
        </w:r>
        <w:r>
          <w:rPr>
            <w:noProof/>
            <w:webHidden/>
          </w:rPr>
          <w:t xml:space="preserve"> </w:t>
        </w:r>
        <w:r>
          <w:rPr>
            <w:noProof/>
            <w:webHidden/>
          </w:rPr>
          <w:tab/>
        </w:r>
        <w:r>
          <w:rPr>
            <w:noProof/>
            <w:webHidden/>
          </w:rPr>
          <w:fldChar w:fldCharType="begin"/>
        </w:r>
        <w:r>
          <w:rPr>
            <w:noProof/>
            <w:webHidden/>
          </w:rPr>
          <w:instrText xml:space="preserve"> PAGEREF _Toc137201581 \h </w:instrText>
        </w:r>
        <w:r>
          <w:rPr>
            <w:noProof/>
            <w:webHidden/>
          </w:rPr>
        </w:r>
        <w:r>
          <w:rPr>
            <w:noProof/>
            <w:webHidden/>
          </w:rPr>
          <w:fldChar w:fldCharType="separate"/>
        </w:r>
        <w:r>
          <w:rPr>
            <w:noProof/>
            <w:webHidden/>
          </w:rPr>
          <w:t>6</w:t>
        </w:r>
        <w:r>
          <w:rPr>
            <w:noProof/>
            <w:webHidden/>
          </w:rPr>
          <w:fldChar w:fldCharType="end"/>
        </w:r>
      </w:hyperlink>
    </w:p>
    <w:p w14:paraId="00F251A8" w14:textId="77777777" w:rsidR="00DD78D3" w:rsidRDefault="00DD78D3">
      <w:pPr>
        <w:pStyle w:val="Verzeichnis1"/>
        <w:rPr>
          <w:rFonts w:asciiTheme="minorHAnsi" w:eastAsiaTheme="minorEastAsia" w:hAnsiTheme="minorHAnsi" w:cstheme="minorBidi"/>
          <w:b w:val="0"/>
          <w:bCs w:val="0"/>
          <w:noProof/>
          <w:color w:val="auto"/>
          <w:kern w:val="2"/>
          <w:sz w:val="22"/>
          <w:szCs w:val="22"/>
          <w:lang w:val="de-BE" w:eastAsia="de-BE"/>
          <w14:ligatures w14:val="standardContextual"/>
        </w:rPr>
      </w:pPr>
      <w:hyperlink w:anchor="_Toc137201582" w:history="1">
        <w:r w:rsidRPr="00E702A6">
          <w:rPr>
            <w:rStyle w:val="Hyperlink"/>
            <w:noProof/>
          </w:rPr>
          <w:t>Institutionen, Grundsätzliches und weitere EU-Themen</w:t>
        </w:r>
      </w:hyperlink>
    </w:p>
    <w:p w14:paraId="6B33409E" w14:textId="2043DC4F"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83" w:history="1">
        <w:r w:rsidRPr="00E702A6">
          <w:rPr>
            <w:rStyle w:val="Hyperlink"/>
            <w:noProof/>
          </w:rPr>
          <w:t>Katastrophenschutz: EU verdoppelt rescEU-Brandbekämpfungsflotte</w:t>
        </w:r>
        <w:r>
          <w:rPr>
            <w:noProof/>
            <w:webHidden/>
          </w:rPr>
          <w:t xml:space="preserve"> </w:t>
        </w:r>
        <w:r>
          <w:rPr>
            <w:noProof/>
            <w:webHidden/>
          </w:rPr>
          <w:tab/>
        </w:r>
        <w:r>
          <w:rPr>
            <w:noProof/>
            <w:webHidden/>
          </w:rPr>
          <w:fldChar w:fldCharType="begin"/>
        </w:r>
        <w:r>
          <w:rPr>
            <w:noProof/>
            <w:webHidden/>
          </w:rPr>
          <w:instrText xml:space="preserve"> PAGEREF _Toc137201583 \h </w:instrText>
        </w:r>
        <w:r>
          <w:rPr>
            <w:noProof/>
            <w:webHidden/>
          </w:rPr>
        </w:r>
        <w:r>
          <w:rPr>
            <w:noProof/>
            <w:webHidden/>
          </w:rPr>
          <w:fldChar w:fldCharType="separate"/>
        </w:r>
        <w:r>
          <w:rPr>
            <w:noProof/>
            <w:webHidden/>
          </w:rPr>
          <w:t>6</w:t>
        </w:r>
        <w:r>
          <w:rPr>
            <w:noProof/>
            <w:webHidden/>
          </w:rPr>
          <w:fldChar w:fldCharType="end"/>
        </w:r>
      </w:hyperlink>
    </w:p>
    <w:p w14:paraId="2842DC25" w14:textId="77777777" w:rsidR="00DD78D3" w:rsidRDefault="00DD78D3">
      <w:pPr>
        <w:pStyle w:val="Verzeichnis1"/>
        <w:rPr>
          <w:rFonts w:asciiTheme="minorHAnsi" w:eastAsiaTheme="minorEastAsia" w:hAnsiTheme="minorHAnsi" w:cstheme="minorBidi"/>
          <w:b w:val="0"/>
          <w:bCs w:val="0"/>
          <w:noProof/>
          <w:color w:val="auto"/>
          <w:kern w:val="2"/>
          <w:sz w:val="22"/>
          <w:szCs w:val="22"/>
          <w:lang w:val="de-BE" w:eastAsia="de-BE"/>
          <w14:ligatures w14:val="standardContextual"/>
        </w:rPr>
      </w:pPr>
      <w:hyperlink w:anchor="_Toc137201584" w:history="1">
        <w:r w:rsidRPr="00E702A6">
          <w:rPr>
            <w:rStyle w:val="Hyperlink"/>
            <w:noProof/>
          </w:rPr>
          <w:t>Fördermöglichkeiten und Aufrufe</w:t>
        </w:r>
      </w:hyperlink>
    </w:p>
    <w:p w14:paraId="2804484A" w14:textId="6667993D" w:rsidR="00DD78D3" w:rsidRDefault="00DD78D3">
      <w:pPr>
        <w:pStyle w:val="Verzeichnis2"/>
        <w:rPr>
          <w:rFonts w:asciiTheme="minorHAnsi" w:eastAsiaTheme="minorEastAsia" w:hAnsiTheme="minorHAnsi" w:cstheme="minorBidi"/>
          <w:noProof/>
          <w:kern w:val="2"/>
          <w:sz w:val="22"/>
          <w:szCs w:val="22"/>
          <w:lang w:val="de-BE" w:eastAsia="de-BE"/>
          <w14:ligatures w14:val="standardContextual"/>
        </w:rPr>
      </w:pPr>
      <w:hyperlink w:anchor="_Toc137201585" w:history="1">
        <w:r w:rsidRPr="00E702A6">
          <w:rPr>
            <w:rStyle w:val="Hyperlink"/>
            <w:noProof/>
          </w:rPr>
          <w:t>Europäische Stadtinitiative: Zweiter Förderaufruf gestartet</w:t>
        </w:r>
        <w:r>
          <w:rPr>
            <w:noProof/>
            <w:webHidden/>
          </w:rPr>
          <w:t xml:space="preserve"> </w:t>
        </w:r>
        <w:r>
          <w:rPr>
            <w:noProof/>
            <w:webHidden/>
          </w:rPr>
          <w:tab/>
        </w:r>
        <w:r>
          <w:rPr>
            <w:noProof/>
            <w:webHidden/>
          </w:rPr>
          <w:fldChar w:fldCharType="begin"/>
        </w:r>
        <w:r>
          <w:rPr>
            <w:noProof/>
            <w:webHidden/>
          </w:rPr>
          <w:instrText xml:space="preserve"> PAGEREF _Toc137201585 \h </w:instrText>
        </w:r>
        <w:r>
          <w:rPr>
            <w:noProof/>
            <w:webHidden/>
          </w:rPr>
        </w:r>
        <w:r>
          <w:rPr>
            <w:noProof/>
            <w:webHidden/>
          </w:rPr>
          <w:fldChar w:fldCharType="separate"/>
        </w:r>
        <w:r>
          <w:rPr>
            <w:noProof/>
            <w:webHidden/>
          </w:rPr>
          <w:t>6</w:t>
        </w:r>
        <w:r>
          <w:rPr>
            <w:noProof/>
            <w:webHidden/>
          </w:rPr>
          <w:fldChar w:fldCharType="end"/>
        </w:r>
      </w:hyperlink>
    </w:p>
    <w:p w14:paraId="33D05A3D" w14:textId="47561859" w:rsidR="000C6E1A" w:rsidRDefault="00AE13F8" w:rsidP="003E4A9B">
      <w:pPr>
        <w:pStyle w:val="BAText"/>
      </w:pPr>
      <w:r w:rsidRPr="00C36206">
        <w:fldChar w:fldCharType="end"/>
      </w:r>
      <w:bookmarkEnd w:id="0"/>
    </w:p>
    <w:p w14:paraId="5B229DA4" w14:textId="77777777" w:rsidR="000C6E1A" w:rsidRDefault="000C6E1A">
      <w:pPr>
        <w:rPr>
          <w:rFonts w:ascii="Open Sans" w:eastAsia="Times New Roman" w:hAnsi="Open Sans" w:cs="Times New Roman"/>
          <w:b/>
          <w:color w:val="262626" w:themeColor="text1" w:themeTint="D9"/>
          <w:sz w:val="21"/>
          <w:szCs w:val="24"/>
          <w:lang w:eastAsia="de-DE"/>
        </w:rPr>
      </w:pPr>
      <w:r>
        <w:rPr>
          <w:b/>
        </w:rPr>
        <w:br w:type="page"/>
      </w:r>
    </w:p>
    <w:p w14:paraId="5A06815B" w14:textId="77777777" w:rsidR="00A40CAF" w:rsidRDefault="00A40CAF" w:rsidP="00A40CAF">
      <w:pPr>
        <w:pStyle w:val="BAKategorie"/>
      </w:pPr>
      <w:bookmarkStart w:id="1" w:name="_Toc137201566"/>
      <w:r>
        <w:lastRenderedPageBreak/>
        <w:t>Wettbewerb, Wirtschaft und Finanzen</w:t>
      </w:r>
      <w:bookmarkEnd w:id="1"/>
    </w:p>
    <w:p w14:paraId="6CBB1741" w14:textId="77777777" w:rsidR="00337D37" w:rsidRPr="008020C3" w:rsidRDefault="00337D37" w:rsidP="00693D5C">
      <w:pPr>
        <w:pStyle w:val="BATitel"/>
      </w:pPr>
      <w:bookmarkStart w:id="2" w:name="_Toc105149878"/>
      <w:bookmarkStart w:id="3" w:name="_Toc137201567"/>
      <w:r w:rsidRPr="008020C3">
        <w:t>Wirtschaft: Frühjahrspaket des Europäischen Semesters 202</w:t>
      </w:r>
      <w:r>
        <w:t>3</w:t>
      </w:r>
      <w:r w:rsidRPr="008020C3">
        <w:t xml:space="preserve"> vorgelegt</w:t>
      </w:r>
      <w:bookmarkEnd w:id="2"/>
      <w:bookmarkEnd w:id="3"/>
    </w:p>
    <w:p w14:paraId="60780110" w14:textId="49A3CD2F" w:rsidR="00337D37" w:rsidRPr="008020C3" w:rsidRDefault="00337D37" w:rsidP="00337D37">
      <w:pPr>
        <w:pStyle w:val="BAText"/>
      </w:pPr>
      <w:r w:rsidRPr="008020C3">
        <w:t>Am 2</w:t>
      </w:r>
      <w:r>
        <w:t>4</w:t>
      </w:r>
      <w:r w:rsidRPr="008020C3">
        <w:t>. Mai 202</w:t>
      </w:r>
      <w:r>
        <w:t>3</w:t>
      </w:r>
      <w:r w:rsidRPr="008020C3">
        <w:t xml:space="preserve"> legte die EU-Kommission das </w:t>
      </w:r>
      <w:hyperlink r:id="rId14" w:history="1">
        <w:r w:rsidRPr="00AE3F4B">
          <w:rPr>
            <w:rStyle w:val="Hyperlink"/>
          </w:rPr>
          <w:t>Frühjahrspaket</w:t>
        </w:r>
      </w:hyperlink>
      <w:r w:rsidRPr="008020C3">
        <w:t xml:space="preserve"> des Europäischen Semesters 202</w:t>
      </w:r>
      <w:r>
        <w:t>3</w:t>
      </w:r>
      <w:r w:rsidRPr="008020C3">
        <w:t xml:space="preserve"> vor, das </w:t>
      </w:r>
      <w:r>
        <w:t>u. a.</w:t>
      </w:r>
      <w:r w:rsidRPr="008020C3">
        <w:t xml:space="preserve"> </w:t>
      </w:r>
      <w:r>
        <w:t>spezifische</w:t>
      </w:r>
      <w:r w:rsidRPr="008020C3">
        <w:t xml:space="preserve"> </w:t>
      </w:r>
      <w:hyperlink r:id="rId15" w:history="1">
        <w:r w:rsidRPr="00AE3F4B">
          <w:rPr>
            <w:rStyle w:val="Hyperlink"/>
          </w:rPr>
          <w:t>Länderberichte</w:t>
        </w:r>
      </w:hyperlink>
      <w:r w:rsidRPr="008020C3">
        <w:t xml:space="preserve"> und länderspezifische </w:t>
      </w:r>
      <w:hyperlink r:id="rId16" w:history="1">
        <w:r w:rsidRPr="00AE3F4B">
          <w:rPr>
            <w:rStyle w:val="Hyperlink"/>
          </w:rPr>
          <w:t>Empfehlungen</w:t>
        </w:r>
      </w:hyperlink>
      <w:r>
        <w:t xml:space="preserve"> enthält. Das Europäische Semester hat zum Ziel, den Mitgliedstaaten Orientierung bei der Bewältigung zentraler wirtschaftlicher und sozialer Herausforderungen in Zeiten eines schwierigen geopolitischen Umfelds zu geben, um Wettbewerbsfähigkeit und langfristigen Wohlstand zu sichern. Die Länderberichte</w:t>
      </w:r>
      <w:r w:rsidRPr="00EE2D27">
        <w:t xml:space="preserve"> </w:t>
      </w:r>
      <w:r>
        <w:t xml:space="preserve">liefern dabei einen Überblick über die spezifischen Herausforderungen in den einzelnen Mitgliedstaaten. Die länderspezifischen Empfehlungen wiederum geben den Mitgliedstaaten Leitlinien für die Bewältigung der wichtigsten sozio-ökonomischen Herausforderungen an die Hand, die in ihren Aufbau- und </w:t>
      </w:r>
      <w:proofErr w:type="spellStart"/>
      <w:r>
        <w:t>Resilienzplänen</w:t>
      </w:r>
      <w:proofErr w:type="spellEnd"/>
      <w:r>
        <w:t xml:space="preserve"> bisher nur teilweise oder nicht adressiert werden. Diese umfassen die Haushaltspolitik, die Umsetzung der nationalen Aufbau- und </w:t>
      </w:r>
      <w:proofErr w:type="spellStart"/>
      <w:r>
        <w:t>Resilienzpläne</w:t>
      </w:r>
      <w:proofErr w:type="spellEnd"/>
      <w:r>
        <w:t xml:space="preserve"> </w:t>
      </w:r>
      <w:proofErr w:type="spellStart"/>
      <w:r>
        <w:t>i.V.m</w:t>
      </w:r>
      <w:proofErr w:type="spellEnd"/>
      <w:r>
        <w:t xml:space="preserve"> </w:t>
      </w:r>
      <w:hyperlink r:id="rId17" w:history="1">
        <w:proofErr w:type="spellStart"/>
        <w:r w:rsidRPr="00283F45">
          <w:rPr>
            <w:rStyle w:val="Hyperlink"/>
          </w:rPr>
          <w:t>REPowerEU</w:t>
        </w:r>
        <w:proofErr w:type="spellEnd"/>
      </w:hyperlink>
      <w:r>
        <w:t>, Energiepolitik und strukturelle Herausforderungen</w:t>
      </w:r>
      <w:r w:rsidRPr="008020C3">
        <w:t>.</w:t>
      </w:r>
      <w:r>
        <w:t xml:space="preserve"> Für Deutschland wird die Wirtschaftslage trotz makroökonomischer Ungleichgewichte weiterhin als grundsätzlich gut bewertet, allerdings erfüllt Deutschland das Defizitkriterium (d. h. gesamtstaatliches Defizit überschreitet den Referenzwert von 3 % des BIP) nicht. Weiter wird empfohlen, dass Deutschland seinen geänderten </w:t>
      </w:r>
      <w:hyperlink r:id="rId18" w:history="1">
        <w:r w:rsidRPr="00283F45">
          <w:rPr>
            <w:rStyle w:val="Hyperlink"/>
          </w:rPr>
          <w:t xml:space="preserve">Aufbau- und </w:t>
        </w:r>
        <w:proofErr w:type="spellStart"/>
        <w:r w:rsidRPr="00283F45">
          <w:rPr>
            <w:rStyle w:val="Hyperlink"/>
          </w:rPr>
          <w:t>Resilienzplan</w:t>
        </w:r>
        <w:proofErr w:type="spellEnd"/>
      </w:hyperlink>
      <w:r>
        <w:t xml:space="preserve"> erheblich beschleunigen soll und dafür ausreichend Ressourcen bereitstellt. Auch die Infrastruktur für die Digitalisierung der öffentlichen Verwaltung müsse weiter ausgebaut und die Abhängigkeit von fossilen Energien weiter abgebaut werden, wobei effiziente öffentliche Verwaltungs- und Genehmigungsverfahren entscheidend seien. Vor allem in den Bereichen Verkehr, Gebäude und Industrie solle die Energieeffizienz verbessert werden</w:t>
      </w:r>
      <w:r w:rsidR="001269CB">
        <w:t>.</w:t>
      </w:r>
      <w:r w:rsidRPr="008020C3">
        <w:t xml:space="preserve"> (</w:t>
      </w:r>
      <w:r>
        <w:t>LM</w:t>
      </w:r>
      <w:r w:rsidRPr="008020C3">
        <w:t>)</w:t>
      </w:r>
    </w:p>
    <w:p w14:paraId="30BD643C" w14:textId="77777777" w:rsidR="00337D37" w:rsidRDefault="00337D37" w:rsidP="00337D37">
      <w:pPr>
        <w:pStyle w:val="BAText"/>
      </w:pPr>
    </w:p>
    <w:p w14:paraId="75133DAC" w14:textId="277E3B80" w:rsidR="005C0DC1" w:rsidRDefault="005C0DC1" w:rsidP="00693D5C">
      <w:pPr>
        <w:pStyle w:val="BATitel"/>
      </w:pPr>
      <w:bookmarkStart w:id="4" w:name="_Toc137201568"/>
      <w:r>
        <w:t>Schutz geografischer Angaben: Parlament legt Standpunkt fest</w:t>
      </w:r>
      <w:bookmarkEnd w:id="4"/>
    </w:p>
    <w:p w14:paraId="7E31F89A" w14:textId="2F1F69B4" w:rsidR="005C0DC1" w:rsidRDefault="005C0DC1" w:rsidP="003E4A9B">
      <w:pPr>
        <w:pStyle w:val="BAText"/>
      </w:pPr>
      <w:r>
        <w:t xml:space="preserve">Am 1. Juni 2023 legte das EU-Parlament seinen </w:t>
      </w:r>
      <w:hyperlink r:id="rId19" w:history="1">
        <w:r>
          <w:rPr>
            <w:rStyle w:val="Hyperlink"/>
            <w:rFonts w:cstheme="minorHAnsi"/>
            <w:szCs w:val="21"/>
          </w:rPr>
          <w:t>Standpunkt</w:t>
        </w:r>
      </w:hyperlink>
      <w:r>
        <w:t xml:space="preserve"> für die Verhandlungen über neue Vorgaben für geografische Angaben der Europäischen Union für Wein, Spirituosen und landwirtschaftliche Erzeugnisse </w:t>
      </w:r>
      <w:r w:rsidR="001269CB">
        <w:t xml:space="preserve">sowie </w:t>
      </w:r>
      <w:r>
        <w:t>über Qualitätsregelungen für landwirtschaftliche Erzeugnisse fest. Die E</w:t>
      </w:r>
      <w:r w:rsidR="001269CB">
        <w:t>U-</w:t>
      </w:r>
      <w:r>
        <w:t xml:space="preserve">Kommission hatte die </w:t>
      </w:r>
      <w:hyperlink r:id="rId20" w:history="1">
        <w:r>
          <w:rPr>
            <w:rStyle w:val="Hyperlink"/>
            <w:rFonts w:cstheme="minorHAnsi"/>
            <w:szCs w:val="21"/>
          </w:rPr>
          <w:t>Verordnung</w:t>
        </w:r>
      </w:hyperlink>
      <w:r>
        <w:t xml:space="preserve"> am 31. März 2022 (</w:t>
      </w:r>
      <w:r>
        <w:rPr>
          <w:i/>
          <w:iCs/>
        </w:rPr>
        <w:t>Brüssel Aktuell </w:t>
      </w:r>
      <w:r>
        <w:t>7/2022) vorgelegt. Geografische Angaben (g. A.) dienen als Kennzeichnung für Produkte, deren Qualität, Merkmale oder Ansehen natürlichen und menschlichen Einflüssen geschuldet sind, die mit ihrem Ursprungsort verbunden sind. Ziel ist es, die ländliche Wirtschaft zu unterstützen und die hohen Lebensmittelstandards der EU aufrechtzuerhalten. Zudem soll sichergestellt werden, dass das kulturelle, gastronomische und lokale Erbe innerhalb der EU und weltweit bewahrt und anerkannt wird. Die Abgeordneten sprachen sich u. a. dafür aus, dass g. A. in verarbeiteten Produkten besser geschützt werden, und dass anerkannte Erzeugervereinigungen mehr Rechte und Ressourcen erhalten sollten. Weiter fordern sie eine beschleunigte Registrierung der Angaben durch die Kommission und einen stärkeren Online-Schutz für diese. Domänen, die unrechtmäßig den Namen einer g. A. verwenden, sollten automatisch geschlossen werden. Sobald der Rat der EU seinen Standpunkt zur Verordnung angenommen hat, werden die Verhandlungen zwischen den EU-Institutionen eingeleitet. (LM)</w:t>
      </w:r>
    </w:p>
    <w:p w14:paraId="16050548" w14:textId="77777777" w:rsidR="003E4A9B" w:rsidRDefault="003E4A9B" w:rsidP="00337D37">
      <w:pPr>
        <w:pStyle w:val="BAText"/>
        <w:spacing w:line="360" w:lineRule="auto"/>
      </w:pPr>
    </w:p>
    <w:p w14:paraId="566104EF" w14:textId="77777777" w:rsidR="00EC7A15" w:rsidRDefault="00EC7A15" w:rsidP="00693D5C">
      <w:pPr>
        <w:pStyle w:val="BATitel"/>
      </w:pPr>
      <w:bookmarkStart w:id="5" w:name="_Toc137201569"/>
      <w:r>
        <w:t xml:space="preserve">Aufbau und </w:t>
      </w:r>
      <w:proofErr w:type="spellStart"/>
      <w:r>
        <w:t>Resilienzfazilität</w:t>
      </w:r>
      <w:proofErr w:type="spellEnd"/>
      <w:r>
        <w:t>: Interaktive Karte veröffentlicht</w:t>
      </w:r>
      <w:bookmarkEnd w:id="5"/>
    </w:p>
    <w:p w14:paraId="63072E06" w14:textId="5B7C9BA7" w:rsidR="00EC7A15" w:rsidRDefault="00EC7A15" w:rsidP="00EC7A15">
      <w:pPr>
        <w:pStyle w:val="BAText"/>
      </w:pPr>
      <w:r>
        <w:t xml:space="preserve">Die EU-Kommission hat eine interaktive </w:t>
      </w:r>
      <w:hyperlink r:id="rId21" w:history="1">
        <w:r w:rsidRPr="000E6041">
          <w:rPr>
            <w:rStyle w:val="Hyperlink"/>
          </w:rPr>
          <w:t>Karte</w:t>
        </w:r>
      </w:hyperlink>
      <w:r>
        <w:t xml:space="preserve"> online gestellt, die alle geförderten Projekte der Aufbau- und </w:t>
      </w:r>
      <w:proofErr w:type="spellStart"/>
      <w:r>
        <w:t>Resilienzfazilität</w:t>
      </w:r>
      <w:proofErr w:type="spellEnd"/>
      <w:r>
        <w:t xml:space="preserve"> (ARF) aufzeigt. Die ARF ist ein Programm im Rahmen des Aufbauplans </w:t>
      </w:r>
      <w:proofErr w:type="spellStart"/>
      <w:r>
        <w:t>NextGenerationEU</w:t>
      </w:r>
      <w:proofErr w:type="spellEnd"/>
      <w:r>
        <w:t xml:space="preserve"> (zuletzt </w:t>
      </w:r>
      <w:r w:rsidRPr="007A1202">
        <w:rPr>
          <w:i/>
          <w:iCs/>
        </w:rPr>
        <w:t>Brüssel</w:t>
      </w:r>
      <w:r>
        <w:rPr>
          <w:i/>
          <w:iCs/>
        </w:rPr>
        <w:t> </w:t>
      </w:r>
      <w:r w:rsidRPr="007A1202">
        <w:rPr>
          <w:i/>
          <w:iCs/>
        </w:rPr>
        <w:t>Aktuell</w:t>
      </w:r>
      <w:r w:rsidR="007056EE">
        <w:t> </w:t>
      </w:r>
      <w:r>
        <w:t xml:space="preserve">11/2022), in dem bereits über 150 Mrd. € an die EU-Mitgliedstaaten ausgezahlt wurden. Für jede Reform und Investition soll somit der Standort in dem Mitgliedstaat sowie der aktuelle Umsetzungsstand aufgezeigt werden. Außerdem wird es ermöglicht, über die Karte auf ausführlichere Projektinformationen auf den </w:t>
      </w:r>
      <w:hyperlink r:id="rId22" w:history="1">
        <w:r w:rsidRPr="000E6041">
          <w:rPr>
            <w:rStyle w:val="Hyperlink"/>
          </w:rPr>
          <w:t>Länderseiten</w:t>
        </w:r>
      </w:hyperlink>
      <w:r>
        <w:t xml:space="preserve"> der ARF-Webseite zuzugreifen. Die Karte wird laufend aktualisiert. (JK)</w:t>
      </w:r>
    </w:p>
    <w:p w14:paraId="3A4A7B17" w14:textId="77777777" w:rsidR="00EC7A15" w:rsidRDefault="00EC7A15" w:rsidP="00337D37">
      <w:pPr>
        <w:pStyle w:val="BAText"/>
        <w:spacing w:line="360" w:lineRule="auto"/>
      </w:pPr>
    </w:p>
    <w:p w14:paraId="32181F3F" w14:textId="77777777" w:rsidR="001E4E28" w:rsidRPr="00277867" w:rsidRDefault="001E4E28" w:rsidP="00277867">
      <w:pPr>
        <w:pStyle w:val="BAKategorie"/>
      </w:pPr>
      <w:bookmarkStart w:id="6" w:name="_Wettbewerb,_Wirtschaft_und"/>
      <w:bookmarkStart w:id="7" w:name="_Umwelt,_Energie_und"/>
      <w:bookmarkStart w:id="8" w:name="_Toc78535423"/>
      <w:bookmarkStart w:id="9" w:name="_Toc78535871"/>
      <w:bookmarkStart w:id="10" w:name="_Toc78536427"/>
      <w:bookmarkStart w:id="11" w:name="_Toc137201570"/>
      <w:bookmarkEnd w:id="6"/>
      <w:bookmarkEnd w:id="7"/>
      <w:r w:rsidRPr="00277867">
        <w:lastRenderedPageBreak/>
        <w:t>Umwelt, Energie und Verkehr</w:t>
      </w:r>
      <w:bookmarkEnd w:id="8"/>
      <w:bookmarkEnd w:id="9"/>
      <w:bookmarkEnd w:id="10"/>
      <w:bookmarkEnd w:id="11"/>
    </w:p>
    <w:p w14:paraId="35103F9D" w14:textId="77777777" w:rsidR="00795CC5" w:rsidRDefault="00795CC5" w:rsidP="00693D5C">
      <w:pPr>
        <w:pStyle w:val="BATitel"/>
      </w:pPr>
      <w:bookmarkStart w:id="12" w:name="_Toc137201571"/>
      <w:r>
        <w:t>Erneuerbare Energien: Rat verzögert Finalisierung von RED III</w:t>
      </w:r>
      <w:bookmarkEnd w:id="12"/>
    </w:p>
    <w:p w14:paraId="4B6532F1" w14:textId="7241269E" w:rsidR="00795CC5" w:rsidRDefault="00795CC5" w:rsidP="003E4A9B">
      <w:pPr>
        <w:pStyle w:val="BAText"/>
      </w:pPr>
      <w:r w:rsidRPr="002501D1">
        <w:t>Die EU-Kommission veröffentlichte am 14.</w:t>
      </w:r>
      <w:r>
        <w:t> </w:t>
      </w:r>
      <w:r w:rsidRPr="002501D1">
        <w:t>Juli</w:t>
      </w:r>
      <w:r>
        <w:t> </w:t>
      </w:r>
      <w:r w:rsidRPr="002501D1">
        <w:t xml:space="preserve">2021 einen </w:t>
      </w:r>
      <w:hyperlink r:id="rId23" w:history="1">
        <w:r w:rsidRPr="002501D1">
          <w:rPr>
            <w:rStyle w:val="Hyperlink"/>
          </w:rPr>
          <w:t>Vorschlag</w:t>
        </w:r>
      </w:hyperlink>
      <w:r>
        <w:t xml:space="preserve"> </w:t>
      </w:r>
      <w:r w:rsidRPr="002501D1">
        <w:t>für eine Erneuerbare-Energien-Richtlinie (RED</w:t>
      </w:r>
      <w:r>
        <w:t> </w:t>
      </w:r>
      <w:r w:rsidRPr="002501D1">
        <w:t>III). Die RED</w:t>
      </w:r>
      <w:r>
        <w:t> </w:t>
      </w:r>
      <w:r w:rsidRPr="002501D1">
        <w:t>III soll mehrere Verordnungen und Richtlinien anpassen (sog. RED</w:t>
      </w:r>
      <w:r>
        <w:t> </w:t>
      </w:r>
      <w:r w:rsidRPr="002501D1">
        <w:t>II): 2018/2001, 2018/1999, 98/70/EG. Sie soll u.</w:t>
      </w:r>
      <w:r>
        <w:t> </w:t>
      </w:r>
      <w:r w:rsidRPr="002501D1">
        <w:t>a. festlegen, welche erneuerbaren Energieformen die Mitgliedstaaten einsetzen und fördern dürfen (</w:t>
      </w:r>
      <w:r w:rsidRPr="00F4420D">
        <w:rPr>
          <w:i/>
          <w:iCs/>
        </w:rPr>
        <w:t>Brüssel Aktuell</w:t>
      </w:r>
      <w:r>
        <w:t> </w:t>
      </w:r>
      <w:r w:rsidR="005131A3">
        <w:t>1</w:t>
      </w:r>
      <w:r w:rsidRPr="002501D1">
        <w:t xml:space="preserve">0/2022). Aus kommunaler Sicht entwickelte sich im weiteren Verlauf des gesetzgeberischen Verfahrens die Rolle von Holz als erneuerbare und förderfähige Energieform zu einem </w:t>
      </w:r>
      <w:r>
        <w:t>Hauptanliegen</w:t>
      </w:r>
      <w:r w:rsidRPr="002501D1">
        <w:t>. Am 30.</w:t>
      </w:r>
      <w:r>
        <w:t> </w:t>
      </w:r>
      <w:r w:rsidRPr="002501D1">
        <w:t>März</w:t>
      </w:r>
      <w:r>
        <w:t> </w:t>
      </w:r>
      <w:r w:rsidRPr="002501D1">
        <w:t xml:space="preserve">2023 erreichten Kommission, Rat und EU-Parlament eine politische Einigung im Trilog: </w:t>
      </w:r>
      <w:r>
        <w:t xml:space="preserve">Verschiedenen </w:t>
      </w:r>
      <w:r w:rsidRPr="002501D1">
        <w:t xml:space="preserve">Pressemitteilungen zufolge soll Holz im Grundsatz weiterhin als erneuerbar </w:t>
      </w:r>
      <w:r>
        <w:t>gelten</w:t>
      </w:r>
      <w:r w:rsidRPr="002501D1">
        <w:t xml:space="preserve"> (</w:t>
      </w:r>
      <w:r w:rsidRPr="00F4420D">
        <w:rPr>
          <w:i/>
          <w:iCs/>
        </w:rPr>
        <w:t>Brüssel</w:t>
      </w:r>
      <w:r>
        <w:rPr>
          <w:i/>
          <w:iCs/>
        </w:rPr>
        <w:t> </w:t>
      </w:r>
      <w:r w:rsidRPr="00F4420D">
        <w:rPr>
          <w:i/>
          <w:iCs/>
        </w:rPr>
        <w:t>Aktuell</w:t>
      </w:r>
      <w:r>
        <w:t> </w:t>
      </w:r>
      <w:r w:rsidRPr="002501D1">
        <w:t>6/2023).</w:t>
      </w:r>
      <w:r>
        <w:t xml:space="preserve"> </w:t>
      </w:r>
      <w:r w:rsidRPr="002501D1">
        <w:t>Im nächsten Schritt des Gesetzgebungsprozess würden Parlament und Rat</w:t>
      </w:r>
      <w:r w:rsidR="001269CB">
        <w:t>,</w:t>
      </w:r>
      <w:r w:rsidRPr="002501D1">
        <w:t xml:space="preserve"> als die beiden Ko-Gesetzgeber</w:t>
      </w:r>
      <w:r w:rsidR="001269CB">
        <w:t>,</w:t>
      </w:r>
      <w:r w:rsidRPr="002501D1">
        <w:t xml:space="preserve"> die konsolidierte, identische Fassung förmlich verabschieden, bevor die neue Richtlinie in Kraft treten kann. Anders als ursprünglich geplant befasste sich der ITRE-Ausschuss (Industrie, Forschung und Energie) des Parlaments nicht am 23. Mai 2023 mit dessen</w:t>
      </w:r>
      <w:r>
        <w:t xml:space="preserve"> abschließender</w:t>
      </w:r>
      <w:r w:rsidRPr="002501D1">
        <w:t xml:space="preserve"> Behandlung, nachdem bekannt wurde, dass Frankreich im Rat am 17. Mai 2023 nachträglich Änderungen bzgl. der Rolle von Atomenergie bei der Erzeugung von Wasserstoff geltend machte. Den gefundenen Kompromiss könne die Regierung in Paris in der Form nicht mittragen</w:t>
      </w:r>
      <w:r w:rsidR="001269CB">
        <w:t xml:space="preserve"> (</w:t>
      </w:r>
      <w:hyperlink r:id="rId24" w:history="1">
        <w:r w:rsidRPr="002501D1">
          <w:rPr>
            <w:rStyle w:val="Hyperlink"/>
          </w:rPr>
          <w:t>Medienmeldungen</w:t>
        </w:r>
      </w:hyperlink>
      <w:r w:rsidRPr="002501D1">
        <w:t xml:space="preserve"> </w:t>
      </w:r>
      <w:r w:rsidR="001269CB">
        <w:t>(</w:t>
      </w:r>
      <w:r w:rsidRPr="002501D1">
        <w:t>französischsprachig) zufolge</w:t>
      </w:r>
      <w:r w:rsidR="001269CB">
        <w:t>)</w:t>
      </w:r>
      <w:r w:rsidRPr="002501D1">
        <w:t xml:space="preserve">. </w:t>
      </w:r>
      <w:r w:rsidRPr="00F4420D">
        <w:t xml:space="preserve">Je nach Ausgang </w:t>
      </w:r>
      <w:r>
        <w:t>wird</w:t>
      </w:r>
      <w:r w:rsidRPr="00F4420D">
        <w:t xml:space="preserve"> </w:t>
      </w:r>
      <w:r>
        <w:t>die Bürogemeinschaft</w:t>
      </w:r>
      <w:r w:rsidRPr="00F4420D">
        <w:t xml:space="preserve"> </w:t>
      </w:r>
      <w:r>
        <w:t>eine endgültig verabschiedete</w:t>
      </w:r>
      <w:r w:rsidRPr="00F4420D">
        <w:t xml:space="preserve"> Richtlinie auf </w:t>
      </w:r>
      <w:r>
        <w:t>dessen</w:t>
      </w:r>
      <w:r w:rsidRPr="00F4420D">
        <w:t xml:space="preserve"> kommunalrelevante Bestandteile</w:t>
      </w:r>
      <w:r>
        <w:t xml:space="preserve"> analysieren</w:t>
      </w:r>
      <w:r w:rsidRPr="00F4420D">
        <w:t xml:space="preserve">. </w:t>
      </w:r>
      <w:r>
        <w:t>(NL)</w:t>
      </w:r>
    </w:p>
    <w:p w14:paraId="0BBFD204" w14:textId="77777777" w:rsidR="00922552" w:rsidRDefault="00922552" w:rsidP="003E4A9B">
      <w:pPr>
        <w:pStyle w:val="BAText"/>
      </w:pPr>
    </w:p>
    <w:p w14:paraId="6378AC44" w14:textId="6DE94B81" w:rsidR="005131A3" w:rsidRDefault="005131A3" w:rsidP="00693D5C">
      <w:pPr>
        <w:pStyle w:val="BATitel"/>
      </w:pPr>
      <w:bookmarkStart w:id="13" w:name="_Toc137201572"/>
      <w:r>
        <w:t>Grüner Deal I: Kommission veröffentlicht Leitfäden für Klimaanpassung von Gebäuden</w:t>
      </w:r>
      <w:bookmarkEnd w:id="13"/>
    </w:p>
    <w:p w14:paraId="27758D23" w14:textId="77777777" w:rsidR="005131A3" w:rsidRDefault="005131A3" w:rsidP="003E4A9B">
      <w:pPr>
        <w:pStyle w:val="BAText"/>
      </w:pPr>
      <w:r>
        <w:t xml:space="preserve">Die EU-Kommission hat bereits am 29. März 2023 zwei Leitfäden für die die Klimaanpassung von Gebäuden (englischsprachig) veröffentlicht. Der technische </w:t>
      </w:r>
      <w:hyperlink r:id="rId25" w:history="1">
        <w:r>
          <w:rPr>
            <w:rStyle w:val="Hyperlink"/>
          </w:rPr>
          <w:t>Leitfaden</w:t>
        </w:r>
      </w:hyperlink>
      <w:r>
        <w:t xml:space="preserve"> geht u. a. auf die rechtlichen Vorgaben ein und fasst den aktuellen Stand der Gebäudestandards auf europäischer und nationaler Ebene zusammen. Der </w:t>
      </w:r>
      <w:hyperlink r:id="rId26" w:history="1">
        <w:r>
          <w:rPr>
            <w:rStyle w:val="Hyperlink"/>
          </w:rPr>
          <w:t>Leitfaden</w:t>
        </w:r>
      </w:hyperlink>
      <w:r>
        <w:t xml:space="preserve"> für bewährte Verfahren zeigt unterschiedliche Klimaanpassungsmöglichkeiten auf, u. a. im Hinblick auf die unterschiedlichen Klimazonen in Europa oder der besondere Betroffenheit in versiegelter Umwelt, z. B. in Städten. Er richtet sich u. a. an Besitzende, Nutzende und politische Entscheidende. Die Leitfäden sollen laut der Kommission die Akteure in Europa bei der Umsetzung des Grünen Deals unterstützen und unterschiedliche Initiativen der EU, Renovierungswelle, europäisches Bauhaus oder die Bauprodukteverordnung, darin einschließen. </w:t>
      </w:r>
      <w:r w:rsidRPr="005131A3">
        <w:t>(PW)</w:t>
      </w:r>
    </w:p>
    <w:p w14:paraId="339012D6" w14:textId="77777777" w:rsidR="00337D37" w:rsidRPr="005131A3" w:rsidRDefault="00337D37" w:rsidP="003E4A9B">
      <w:pPr>
        <w:pStyle w:val="BAText"/>
      </w:pPr>
    </w:p>
    <w:p w14:paraId="73249589" w14:textId="0B2777A7" w:rsidR="006010B4" w:rsidRDefault="006010B4" w:rsidP="00693D5C">
      <w:pPr>
        <w:pStyle w:val="BATitel"/>
      </w:pPr>
      <w:bookmarkStart w:id="14" w:name="_Toc137201573"/>
      <w:r>
        <w:t>Grüner Deal</w:t>
      </w:r>
      <w:r w:rsidR="005131A3">
        <w:t xml:space="preserve"> II</w:t>
      </w:r>
      <w:r>
        <w:t>: Aktuelle Entwicklungen zur Wiederherstellung der Natur</w:t>
      </w:r>
      <w:bookmarkEnd w:id="14"/>
    </w:p>
    <w:p w14:paraId="5D89A812" w14:textId="63E61730" w:rsidR="006010B4" w:rsidRDefault="006010B4" w:rsidP="003E4A9B">
      <w:pPr>
        <w:pStyle w:val="BAText"/>
      </w:pPr>
      <w:r w:rsidRPr="00A60E2C">
        <w:t xml:space="preserve">Die EU-Kommission verabschiedete am 22. Juni 2022 einen </w:t>
      </w:r>
      <w:hyperlink r:id="rId27">
        <w:r w:rsidRPr="00A60E2C">
          <w:rPr>
            <w:rStyle w:val="Hyperlink"/>
          </w:rPr>
          <w:t>Verordnungsvorschlag</w:t>
        </w:r>
      </w:hyperlink>
      <w:r w:rsidRPr="00A60E2C">
        <w:t xml:space="preserve"> inkl. </w:t>
      </w:r>
      <w:hyperlink r:id="rId28">
        <w:r w:rsidRPr="00A60E2C">
          <w:rPr>
            <w:rStyle w:val="Hyperlink"/>
          </w:rPr>
          <w:t>Annex</w:t>
        </w:r>
      </w:hyperlink>
      <w:r w:rsidRPr="00A60E2C">
        <w:t xml:space="preserve"> zur Wiederherstellung der Natur. Sie unterstreicht darin die Notwendigkeit des Vorschlags zur Erreichung der Klima- und </w:t>
      </w:r>
      <w:hyperlink r:id="rId29">
        <w:r w:rsidRPr="00A60E2C">
          <w:rPr>
            <w:rStyle w:val="Hyperlink"/>
          </w:rPr>
          <w:t>Biodiversitätsziele</w:t>
        </w:r>
      </w:hyperlink>
      <w:r w:rsidRPr="00A60E2C">
        <w:t xml:space="preserve"> der EU bis 2030 und 2050. Die kommunale Relevanz ist u. a. durch den Einbezug von städtischen Grünflächen gegeben. Die mitberatenden Ausschüsse des </w:t>
      </w:r>
      <w:r w:rsidR="001269CB">
        <w:t>EU-</w:t>
      </w:r>
      <w:r w:rsidRPr="00A60E2C">
        <w:t>Parlaments für Landwirtschaft (</w:t>
      </w:r>
      <w:hyperlink r:id="rId30">
        <w:r w:rsidRPr="00A60E2C">
          <w:rPr>
            <w:rStyle w:val="Hyperlink"/>
          </w:rPr>
          <w:t>AGRI</w:t>
        </w:r>
      </w:hyperlink>
      <w:r w:rsidRPr="00A60E2C">
        <w:t>) und Fischerei (</w:t>
      </w:r>
      <w:hyperlink r:id="rId31">
        <w:r w:rsidRPr="00A60E2C">
          <w:rPr>
            <w:rStyle w:val="Hyperlink"/>
          </w:rPr>
          <w:t>PECH</w:t>
        </w:r>
      </w:hyperlink>
      <w:r w:rsidRPr="00A60E2C">
        <w:t>) lehnen den Kommission</w:t>
      </w:r>
      <w:r>
        <w:t>s</w:t>
      </w:r>
      <w:r w:rsidRPr="00A60E2C">
        <w:t>vorschlag ab. Der zuständige Ausschuss für Ausschuss für Umweltfragen, öffentliche Gesundheit und Lebensmittelsicherheit (</w:t>
      </w:r>
      <w:hyperlink r:id="rId32" w:history="1">
        <w:r w:rsidRPr="00A60E2C">
          <w:rPr>
            <w:rStyle w:val="Hyperlink"/>
          </w:rPr>
          <w:t>ENVI</w:t>
        </w:r>
      </w:hyperlink>
      <w:r w:rsidRPr="00A60E2C">
        <w:t xml:space="preserve">) wird am 15. Juni 2023 über den Bericht, der die Grundlage für die Parlamentsposition setzt, abstimmen. Die </w:t>
      </w:r>
      <w:r>
        <w:t xml:space="preserve">Fraktion der Europäischen Volkspartei </w:t>
      </w:r>
      <w:r w:rsidRPr="00A60E2C">
        <w:t xml:space="preserve">hat am 31. Mai 2023 den Ausstieg aus den Verhandlungen im ENVI </w:t>
      </w:r>
      <w:hyperlink r:id="rId33">
        <w:r w:rsidRPr="00A60E2C">
          <w:rPr>
            <w:rStyle w:val="Hyperlink"/>
          </w:rPr>
          <w:t>beschlossen</w:t>
        </w:r>
      </w:hyperlink>
      <w:r w:rsidRPr="00A60E2C">
        <w:t>.</w:t>
      </w:r>
      <w:r>
        <w:t xml:space="preserve"> Die Verhandlerinnen und Verhandler der Fraktion der Progressiven Allianz der Sozialdemokraten im Parlament, der </w:t>
      </w:r>
      <w:proofErr w:type="spellStart"/>
      <w:r>
        <w:t>Renew</w:t>
      </w:r>
      <w:proofErr w:type="spellEnd"/>
      <w:r>
        <w:t xml:space="preserve"> Europe Group, der Fraktion der Grünen/Freie Europäische Allianz und der Fraktion Die Linke haben sich für einen </w:t>
      </w:r>
      <w:hyperlink r:id="rId34" w:history="1">
        <w:r w:rsidRPr="00E35F7E">
          <w:rPr>
            <w:rStyle w:val="Hyperlink"/>
          </w:rPr>
          <w:t>Kompromiss</w:t>
        </w:r>
      </w:hyperlink>
      <w:r>
        <w:t xml:space="preserve"> ausgesprochen, der im ENVI zur Abstimmung gegeben werden soll. Je nach Ausgang der Abstimmung kann der Verordnungsvorschlag noch vor dem Sommer im Plenum des Parlaments abgestimmt werden. Die Bürogemeinschaft wird den Kompromiss auf die kommunalen Auswirkungen hin analysieren und den Gesetzgebungsprozess weiter aktiv begleiten. Die </w:t>
      </w:r>
      <w:r w:rsidRPr="00A60E2C">
        <w:t xml:space="preserve">Grundlage dafür </w:t>
      </w:r>
      <w:r>
        <w:t>bildet das</w:t>
      </w:r>
      <w:r w:rsidRPr="00A60E2C">
        <w:t xml:space="preserve"> gemeinsame </w:t>
      </w:r>
      <w:hyperlink r:id="rId35">
        <w:r w:rsidRPr="00A60E2C">
          <w:rPr>
            <w:rStyle w:val="Hyperlink"/>
          </w:rPr>
          <w:t>Positionspapier</w:t>
        </w:r>
      </w:hyperlink>
      <w:r>
        <w:t xml:space="preserve"> der Bürogemeinschaft</w:t>
      </w:r>
      <w:r w:rsidRPr="00A60E2C">
        <w:t>.</w:t>
      </w:r>
      <w:r>
        <w:t xml:space="preserve"> (PW)</w:t>
      </w:r>
    </w:p>
    <w:p w14:paraId="4E09D103" w14:textId="77777777" w:rsidR="009447A4" w:rsidRDefault="009447A4" w:rsidP="00693D5C">
      <w:pPr>
        <w:pStyle w:val="BATitel"/>
      </w:pPr>
      <w:bookmarkStart w:id="15" w:name="_Toc137201574"/>
      <w:r>
        <w:lastRenderedPageBreak/>
        <w:t>Vertragsverletzungsverfahren: Kommission stellt das Verfahren zu Nitrat ein</w:t>
      </w:r>
      <w:bookmarkEnd w:id="15"/>
    </w:p>
    <w:p w14:paraId="69A43655" w14:textId="77777777" w:rsidR="009447A4" w:rsidRDefault="009447A4" w:rsidP="009447A4">
      <w:pPr>
        <w:pStyle w:val="BAText"/>
      </w:pPr>
      <w:r>
        <w:t xml:space="preserve">Die EU-Kommission hat am 1. Juni 2023 die </w:t>
      </w:r>
      <w:hyperlink r:id="rId36" w:history="1">
        <w:r>
          <w:rPr>
            <w:rStyle w:val="Hyperlink"/>
          </w:rPr>
          <w:t>Öffentlichkeit</w:t>
        </w:r>
      </w:hyperlink>
      <w:r>
        <w:t xml:space="preserve"> darüber informiert, dass das Vertragsverletzungsverfahren gegen Deutschland in Zusammenhang mit der Umsetzung der Nitratrichtlinie eingestellt wird. Die </w:t>
      </w:r>
      <w:hyperlink r:id="rId37" w:history="1">
        <w:r>
          <w:rPr>
            <w:rStyle w:val="Hyperlink"/>
          </w:rPr>
          <w:t>Richtlinie</w:t>
        </w:r>
      </w:hyperlink>
      <w:r>
        <w:t xml:space="preserve"> beabsichtigt u. a. die Verringerung der Verunreinigung des Grundwassers durch Nitrat aufgrund landwirtschaftlicher Quellen. Vorausgegangen war das Urteil des Europäischen Gerichtshofes (EuGH; </w:t>
      </w:r>
      <w:hyperlink r:id="rId38" w:history="1">
        <w:r>
          <w:rPr>
            <w:rStyle w:val="Hyperlink"/>
          </w:rPr>
          <w:t>C-543/16</w:t>
        </w:r>
      </w:hyperlink>
      <w:r>
        <w:t>) in 2018, die Kommission leitete 2019 weitere Verfahrensschritte ein. Aus Sicht der Kommission haben der Bund und die Länder nun die notwendigen Maßnahmen getroffen, um die Vorgaben der Richtlinie zur erfüllen. (PW)</w:t>
      </w:r>
    </w:p>
    <w:p w14:paraId="3C34D6DD" w14:textId="77777777" w:rsidR="006010B4" w:rsidRDefault="006010B4" w:rsidP="003050E4">
      <w:pPr>
        <w:rPr>
          <w:rFonts w:ascii="Open Sans" w:eastAsia="Times New Roman" w:hAnsi="Open Sans" w:cs="Times New Roman"/>
          <w:color w:val="262626" w:themeColor="text1" w:themeTint="D9"/>
          <w:sz w:val="21"/>
          <w:szCs w:val="24"/>
          <w:lang w:eastAsia="de-DE"/>
        </w:rPr>
      </w:pPr>
    </w:p>
    <w:p w14:paraId="2614A268" w14:textId="77777777" w:rsidR="009F73DD" w:rsidRPr="007A2152" w:rsidRDefault="009F73DD" w:rsidP="00277867">
      <w:pPr>
        <w:pStyle w:val="BAKategorie"/>
      </w:pPr>
      <w:bookmarkStart w:id="16" w:name="_Toc137201575"/>
      <w:r>
        <w:t>Regionalpolitik, Städte und ländliche Entwicklung</w:t>
      </w:r>
      <w:bookmarkEnd w:id="16"/>
    </w:p>
    <w:p w14:paraId="00F51F54" w14:textId="77777777" w:rsidR="009447A4" w:rsidRDefault="009447A4" w:rsidP="00693D5C">
      <w:pPr>
        <w:pStyle w:val="BATitel"/>
      </w:pPr>
      <w:bookmarkStart w:id="17" w:name="_Toc93657965"/>
      <w:bookmarkStart w:id="18" w:name="_Toc137201576"/>
      <w:r>
        <w:t>URBACT: 30 neue Aktionsplanungs-Netzwerke</w:t>
      </w:r>
      <w:bookmarkEnd w:id="18"/>
    </w:p>
    <w:p w14:paraId="56BF91A3" w14:textId="76509A57" w:rsidR="009447A4" w:rsidRDefault="009447A4" w:rsidP="009447A4">
      <w:pPr>
        <w:pStyle w:val="BAText"/>
      </w:pPr>
      <w:r>
        <w:t xml:space="preserve">Am 31. Mai 2023 veröffentlichte die EU-Kommission die 30 neuen Aktionsplanungs-Netzwerke im Rahmen des </w:t>
      </w:r>
      <w:hyperlink r:id="rId39" w:history="1">
        <w:r w:rsidRPr="00AC0976">
          <w:rPr>
            <w:rStyle w:val="Hyperlink"/>
          </w:rPr>
          <w:t>URBACT</w:t>
        </w:r>
      </w:hyperlink>
      <w:r>
        <w:t xml:space="preserve">-Aufrufes. Vom 1. Juni 2023 bis Dezember 2025 finden in unterschiedlichen Themen Erfahrungsaustausche, Pilotaktionen, Aufbau von Strukturen und Kompetenzen sowie eine breite Öffentlichkeitsarbeit und Sichtbarkeit innerhalb der Netzwerke statt. In Deutschland ist die Stadt München im Netzwerk </w:t>
      </w:r>
      <w:proofErr w:type="spellStart"/>
      <w:r w:rsidRPr="00AC0976">
        <w:rPr>
          <w:i/>
          <w:iCs/>
        </w:rPr>
        <w:t>Once</w:t>
      </w:r>
      <w:proofErr w:type="spellEnd"/>
      <w:r>
        <w:t xml:space="preserve"> </w:t>
      </w:r>
      <w:r w:rsidR="001269CB">
        <w:t xml:space="preserve">zur </w:t>
      </w:r>
      <w:r w:rsidRPr="005C00AE">
        <w:t>Förderung von sozialer Innovation und Inklusion in allen Bereichen der kommunalen Verwaltung durch Verbesserung der Fähigkeiten und Fertigkeiten des kommunalen Personals und der Organisationsstrukturen</w:t>
      </w:r>
      <w:r>
        <w:t xml:space="preserve"> beteiligt. Die Stadt Mannheim engagiert sich im Netzwerk </w:t>
      </w:r>
      <w:r w:rsidRPr="00AC0976">
        <w:rPr>
          <w:i/>
          <w:iCs/>
        </w:rPr>
        <w:t>CSG</w:t>
      </w:r>
      <w:r>
        <w:t xml:space="preserve"> (Cities </w:t>
      </w:r>
      <w:proofErr w:type="spellStart"/>
      <w:r>
        <w:t>for</w:t>
      </w:r>
      <w:proofErr w:type="spellEnd"/>
      <w:r>
        <w:t xml:space="preserve"> </w:t>
      </w:r>
      <w:proofErr w:type="spellStart"/>
      <w:r>
        <w:t>Sustainable</w:t>
      </w:r>
      <w:proofErr w:type="spellEnd"/>
      <w:r>
        <w:t xml:space="preserve"> Government) um die </w:t>
      </w:r>
      <w:r w:rsidRPr="00AC0976">
        <w:t xml:space="preserve">Schaffung lokal angepasster </w:t>
      </w:r>
      <w:proofErr w:type="spellStart"/>
      <w:r w:rsidRPr="00AC0976">
        <w:t>Governance</w:t>
      </w:r>
      <w:proofErr w:type="spellEnd"/>
      <w:r w:rsidRPr="00AC0976">
        <w:t>-Prozesse und -Instrumente durch die Nutzung der Ziele für nachhaltige Entwicklung als strategisches Instrument.</w:t>
      </w:r>
      <w:r>
        <w:t xml:space="preserve"> Aus Sachsen ist die Stadt Löbau Mitglied im Netzwerk </w:t>
      </w:r>
      <w:proofErr w:type="spellStart"/>
      <w:r w:rsidRPr="00AC0976">
        <w:rPr>
          <w:i/>
          <w:iCs/>
        </w:rPr>
        <w:t>GreenPlace</w:t>
      </w:r>
      <w:proofErr w:type="spellEnd"/>
      <w:r>
        <w:rPr>
          <w:i/>
          <w:iCs/>
        </w:rPr>
        <w:t xml:space="preserve"> </w:t>
      </w:r>
      <w:r>
        <w:t>zur</w:t>
      </w:r>
      <w:r w:rsidRPr="00AC0976">
        <w:t xml:space="preserve"> Wiederherstellung vergessener städtischer Räume und deren umwelt- und bewohnerfreundliche Gestaltung durch Optimierung der Nutzung vorhandener Ressourcen im Kontext der ökologischen Krise, der finanziellen und geopolitischen Situation</w:t>
      </w:r>
      <w:r>
        <w:t xml:space="preserve"> sowie die Stadt Leipzig bei </w:t>
      </w:r>
      <w:r w:rsidRPr="00AC0976">
        <w:rPr>
          <w:i/>
          <w:iCs/>
        </w:rPr>
        <w:t>AR.C.H.ETHICS</w:t>
      </w:r>
      <w:r>
        <w:rPr>
          <w:i/>
          <w:iCs/>
        </w:rPr>
        <w:t xml:space="preserve">, </w:t>
      </w:r>
      <w:r>
        <w:t>einem Netzwerk, mit der Thematik der Wiederbelebung des dissonanten kulturellen Erbes durch Erforschung von Architektur, Menschen, Geschichte und Ethik. (JK)</w:t>
      </w:r>
    </w:p>
    <w:p w14:paraId="414770D7" w14:textId="77777777" w:rsidR="00C97652" w:rsidRPr="00C97652" w:rsidRDefault="00C97652" w:rsidP="00C97652"/>
    <w:p w14:paraId="6CC0B5F4" w14:textId="77777777" w:rsidR="00A459C0" w:rsidRPr="007A2152" w:rsidRDefault="00A459C0" w:rsidP="00277867">
      <w:pPr>
        <w:pStyle w:val="BAKategorie"/>
      </w:pPr>
      <w:bookmarkStart w:id="19" w:name="_Toc137201577"/>
      <w:bookmarkEnd w:id="17"/>
      <w:r>
        <w:t>Soziales, Bildung und Kultur</w:t>
      </w:r>
      <w:bookmarkEnd w:id="19"/>
    </w:p>
    <w:p w14:paraId="7CA217D7" w14:textId="77777777" w:rsidR="00A87727" w:rsidRPr="003E0621" w:rsidRDefault="00A87727" w:rsidP="00693D5C">
      <w:pPr>
        <w:pStyle w:val="BATitel"/>
      </w:pPr>
      <w:bookmarkStart w:id="20" w:name="_Toc93657972"/>
      <w:bookmarkStart w:id="21" w:name="_Hlk93310542"/>
      <w:bookmarkStart w:id="22" w:name="_Toc137201578"/>
      <w:r>
        <w:t>Gesundheit: Initiative zur psychischen Gesundheit</w:t>
      </w:r>
      <w:bookmarkEnd w:id="22"/>
    </w:p>
    <w:p w14:paraId="717999E6" w14:textId="77777777" w:rsidR="00A87727" w:rsidRPr="00CB2A1B" w:rsidRDefault="00A87727" w:rsidP="00A87727">
      <w:pPr>
        <w:pStyle w:val="BALead"/>
      </w:pPr>
      <w:r w:rsidRPr="004C7078">
        <w:t xml:space="preserve">Die EU-Kommission veröffentlichte am 7. Juni 2023 eine </w:t>
      </w:r>
      <w:hyperlink r:id="rId40" w:history="1">
        <w:r w:rsidRPr="00614C21">
          <w:rPr>
            <w:rStyle w:val="Hyperlink"/>
          </w:rPr>
          <w:t>Mitteilung</w:t>
        </w:r>
      </w:hyperlink>
      <w:r w:rsidRPr="004C7078">
        <w:t xml:space="preserve"> über eine umfassende Herangehensweise im Bereich der psychischen Gesundheit. Mit der Initiative soll ein erster Schritt getan werden, um die psychische </w:t>
      </w:r>
      <w:hyperlink r:id="rId41" w:history="1">
        <w:r w:rsidRPr="00614C21">
          <w:rPr>
            <w:rStyle w:val="Hyperlink"/>
          </w:rPr>
          <w:t>Gesundheit</w:t>
        </w:r>
      </w:hyperlink>
      <w:r w:rsidRPr="004C7078">
        <w:t xml:space="preserve"> auf eine Stufe mit der körperlichen zu stellen. Psychische Gesundheitsprobleme sollen mithilfe eines neuen, sektorenübergreifenden Ansatzes angegangen werden. Die Kommission wird die Maßnahmen und Aktivitäten, die direkt oder indirekt der Förderung der psychischen Gesundheit dienen, mit rd. 1,23 Mrd. </w:t>
      </w:r>
      <w:r w:rsidRPr="00CB2A1B">
        <w:t>€ aus verschiedenen</w:t>
      </w:r>
      <w:r>
        <w:t xml:space="preserve"> </w:t>
      </w:r>
      <w:r w:rsidRPr="00CB2A1B">
        <w:t>Finanzinstrumenten unterstützen.</w:t>
      </w:r>
    </w:p>
    <w:p w14:paraId="61120410" w14:textId="77777777" w:rsidR="00A87727" w:rsidRPr="004C7078" w:rsidRDefault="00A87727" w:rsidP="00A87727">
      <w:pPr>
        <w:pStyle w:val="BAZwischenberschrift"/>
        <w:rPr>
          <w:bCs/>
        </w:rPr>
      </w:pPr>
      <w:r w:rsidRPr="004C7078">
        <w:t>Hintergrund</w:t>
      </w:r>
    </w:p>
    <w:p w14:paraId="0B32CF3B" w14:textId="792E3B77" w:rsidR="00A87727" w:rsidRPr="004C7078" w:rsidRDefault="00A87727" w:rsidP="00A87727">
      <w:pPr>
        <w:pStyle w:val="BAText"/>
      </w:pPr>
      <w:r w:rsidRPr="004C7078">
        <w:t>Die Coronavirus-</w:t>
      </w:r>
      <w:r w:rsidR="001269CB">
        <w:t>Kris</w:t>
      </w:r>
      <w:r w:rsidRPr="004C7078">
        <w:t>e hat die Notwendigkeit von verbesserten Maßnahmen im Bereich der psychischen Gesundheit und insbesondere den Zugang zu Gesundheitsleistungen verdeutlicht. Der Zugang zu Gesundheitsvorsorge und ärztliche Versorgung für alle ist in der EU-Grundrechtecharta verankert und ist in der Europäischen Säule sozialer Rechte</w:t>
      </w:r>
      <w:r>
        <w:t xml:space="preserve"> (</w:t>
      </w:r>
      <w:r w:rsidRPr="00905253">
        <w:rPr>
          <w:i/>
          <w:iCs/>
        </w:rPr>
        <w:t>Brüssel Aktuell</w:t>
      </w:r>
      <w:r w:rsidR="0065666D">
        <w:t> </w:t>
      </w:r>
      <w:r>
        <w:t>4/2021)</w:t>
      </w:r>
      <w:r w:rsidRPr="004C7078">
        <w:t xml:space="preserve"> vorgesehen. Des Weiteren wurden im Rahmen der Konferenz zur Zukunft Europas</w:t>
      </w:r>
      <w:r>
        <w:t xml:space="preserve"> (</w:t>
      </w:r>
      <w:r w:rsidRPr="00BE7C53">
        <w:rPr>
          <w:i/>
          <w:iCs/>
        </w:rPr>
        <w:t>Brüssel Aktuell</w:t>
      </w:r>
      <w:r w:rsidR="0065666D">
        <w:t> </w:t>
      </w:r>
      <w:r>
        <w:t>9/2022)</w:t>
      </w:r>
      <w:r w:rsidRPr="004C7078">
        <w:t xml:space="preserve"> Maßnahmen im Bereich der psychischen Gesundheit gefordert. Mit dem Ansatz reagiert die Kommission auch auf die Entschließung des EU-Parlaments von 2022 zur psychischen Gesundheit in der digitalen Arbeitswelt</w:t>
      </w:r>
      <w:r>
        <w:t xml:space="preserve"> (</w:t>
      </w:r>
      <w:r w:rsidRPr="00BE7C53">
        <w:rPr>
          <w:i/>
          <w:iCs/>
        </w:rPr>
        <w:t>Brüssel Aktuell</w:t>
      </w:r>
      <w:r w:rsidR="0065666D">
        <w:t> </w:t>
      </w:r>
      <w:r>
        <w:t>13/2022)</w:t>
      </w:r>
      <w:r w:rsidRPr="004C7078">
        <w:t xml:space="preserve">. </w:t>
      </w:r>
    </w:p>
    <w:p w14:paraId="3C6565C8" w14:textId="77777777" w:rsidR="00575384" w:rsidRDefault="00575384">
      <w:pPr>
        <w:rPr>
          <w:rFonts w:ascii="Open Sans" w:eastAsia="Times New Roman" w:hAnsi="Open Sans" w:cs="Times New Roman"/>
          <w:b/>
          <w:color w:val="262626" w:themeColor="text1" w:themeTint="D9"/>
          <w:sz w:val="21"/>
          <w:szCs w:val="24"/>
          <w:lang w:eastAsia="de-DE"/>
        </w:rPr>
      </w:pPr>
      <w:r>
        <w:br w:type="page"/>
      </w:r>
    </w:p>
    <w:p w14:paraId="3744AFC0" w14:textId="1E2CEBF9" w:rsidR="00A87727" w:rsidRPr="004C7078" w:rsidRDefault="00A87727" w:rsidP="00A87727">
      <w:pPr>
        <w:pStyle w:val="BAZwischenberschrift"/>
      </w:pPr>
      <w:r>
        <w:lastRenderedPageBreak/>
        <w:t xml:space="preserve">Leitprinzipien und </w:t>
      </w:r>
      <w:r w:rsidRPr="004C7078">
        <w:t>Leitinitiativen</w:t>
      </w:r>
    </w:p>
    <w:p w14:paraId="61171DC2" w14:textId="77777777" w:rsidR="00A87727" w:rsidRPr="004C7078" w:rsidRDefault="00A87727" w:rsidP="00A87727">
      <w:pPr>
        <w:pStyle w:val="BAText"/>
      </w:pPr>
      <w:r w:rsidRPr="004C7078">
        <w:t>Der Vorschlag beruht auf drei Leitprinzipien, die die Grundlage für die Leitinitiativen bilden: Zugang zu angemessener und wirksamer Prävention; Zugang zu hochwertiger und bezahlbarer psychischer Gesundheitsversorgung und Behandlung; Möglichkeit der Wiedereingliederung in die Gesellschaft nach der Genesung.</w:t>
      </w:r>
      <w:r>
        <w:t xml:space="preserve"> </w:t>
      </w:r>
      <w:r w:rsidRPr="004C7078">
        <w:t xml:space="preserve">Die Förderung des Wandels im Bereich der psychischen Gesundheit bedarf des gemeinsamen Handelns in allen Politikfeldern. Vorhandene Strukturen sollen unterstützt und u. a. folgende Maßnahmen begleitet werden: </w:t>
      </w:r>
    </w:p>
    <w:p w14:paraId="4EDD807B" w14:textId="77777777" w:rsidR="00A87727" w:rsidRPr="004C7078" w:rsidRDefault="00A87727" w:rsidP="00A87727">
      <w:pPr>
        <w:pStyle w:val="BABullets"/>
        <w:tabs>
          <w:tab w:val="clear" w:pos="5233"/>
          <w:tab w:val="clear" w:pos="6915"/>
        </w:tabs>
      </w:pPr>
      <w:r w:rsidRPr="004C7078">
        <w:t>Förderung einer guten psychischen Gesundheit: Der Schwerpunkt liegt auf Gesundheitsförderung, Prävention, Frühintervention, Entstigmatisierung und Gewährleistung der sozialen Inklusion. Geplant sind z. B. die Unterstützung einer Europäischen Initiative zum Aufbau von Kapazitäten im Bereich der psychischen Gesundheit und eine Europäische Initiative zur Depressions- und Suizidprävention.</w:t>
      </w:r>
    </w:p>
    <w:p w14:paraId="2296C2D5" w14:textId="77777777" w:rsidR="00A87727" w:rsidRPr="004C7078" w:rsidRDefault="00A87727" w:rsidP="00A87727">
      <w:pPr>
        <w:pStyle w:val="BABullets"/>
        <w:tabs>
          <w:tab w:val="clear" w:pos="5233"/>
          <w:tab w:val="clear" w:pos="6915"/>
        </w:tabs>
      </w:pPr>
      <w:r w:rsidRPr="004C7078">
        <w:t>Schutz für Kinder und Jugendliche: Diese sollen als prioritäre Zielgruppe in nationale Strategien für die psychische Gesundheit aufgenommen werden. Geplante Maßnahmen sind bspw. die Entwicklung eines Präventions-Instrumentarium</w:t>
      </w:r>
      <w:r>
        <w:t>s</w:t>
      </w:r>
      <w:r w:rsidRPr="004C7078">
        <w:t xml:space="preserve"> „Kindergesundheit 360“, die Schaffung eines Netzwerks für psychische Gesundheit von Kindern und Jugendlichen sowie Maßnahmen für einen besseren Schutz im Internet und in den sozialen Medien.</w:t>
      </w:r>
    </w:p>
    <w:p w14:paraId="0CBD182F" w14:textId="77777777" w:rsidR="00A87727" w:rsidRPr="004C7078" w:rsidRDefault="00A87727" w:rsidP="00A87727">
      <w:pPr>
        <w:pStyle w:val="BABullets"/>
        <w:tabs>
          <w:tab w:val="clear" w:pos="5233"/>
          <w:tab w:val="clear" w:pos="6915"/>
        </w:tabs>
      </w:pPr>
      <w:r w:rsidRPr="004C7078">
        <w:t>Sicherstellung einer guten psychischen Gesundheit am Arbeitsplatz: Im Mittelpunkt stehen Sensibilisierung und verbesserte Prävention. Geplante Initiativen sind u. a. ein Peer-Review zu den Gesetzgebungs- und Durchsetzungskonzepten zum Umgang mit psychosozialen Risiken am Arbeitsplatz; EU-weite Sensibilisierungskampagnen der Europäischen Agentur für Sicherheit und Gesundheitsschutz am Arbeitsplatz (</w:t>
      </w:r>
      <w:hyperlink r:id="rId42" w:history="1">
        <w:r w:rsidRPr="00905253">
          <w:rPr>
            <w:rStyle w:val="Hyperlink"/>
          </w:rPr>
          <w:t>EU-OSHA</w:t>
        </w:r>
      </w:hyperlink>
      <w:r w:rsidRPr="004C7078">
        <w:t>).</w:t>
      </w:r>
    </w:p>
    <w:p w14:paraId="4D557C65" w14:textId="77777777" w:rsidR="00A87727" w:rsidRPr="004C7078" w:rsidRDefault="00A87727" w:rsidP="00A87727">
      <w:pPr>
        <w:pStyle w:val="BABullets"/>
        <w:tabs>
          <w:tab w:val="clear" w:pos="5233"/>
          <w:tab w:val="clear" w:pos="6915"/>
        </w:tabs>
      </w:pPr>
      <w:r w:rsidRPr="004C7078">
        <w:t>Hilfe für schutzbedürftige Gruppen: Unterstützt werden sollen Menschen in prekären Situationen, insbesondere ältere Menschen, Menschen in sozialen oder wirtschaftlichen Schwierigkeiten und Migranten bzw. Geflüchtete. U. a. soll die Richtlinie über Mindeststandards für die Rechte, die Unterstützung und den Schutz von Opfern von Straftaten überarbeitet werden.</w:t>
      </w:r>
    </w:p>
    <w:p w14:paraId="639206CE" w14:textId="77777777" w:rsidR="00A87727" w:rsidRPr="004C7078" w:rsidRDefault="00A87727" w:rsidP="00A87727">
      <w:pPr>
        <w:pStyle w:val="BABullets"/>
        <w:tabs>
          <w:tab w:val="clear" w:pos="5233"/>
          <w:tab w:val="clear" w:pos="6915"/>
        </w:tabs>
      </w:pPr>
      <w:r w:rsidRPr="004C7078">
        <w:t>Investitionen in Ausbildung und Kapazitätsaufbau: Ziel sind die Stärkung von Strukturen für die psychische Gesundheit und die Verbesserung des Zugangs zu Behandlung und Betreuung sowie die Erschwinglichkeit der Dienstleistungen. Dies soll z. B. durch eine Initiative für mehr und besser ausgebildete Fachkräfte in der EY erreicht werden.</w:t>
      </w:r>
    </w:p>
    <w:p w14:paraId="741BFE0D" w14:textId="581AA9DD" w:rsidR="00A87727" w:rsidRDefault="00A87727" w:rsidP="00A87727">
      <w:pPr>
        <w:pStyle w:val="BAText"/>
      </w:pPr>
      <w:r w:rsidRPr="004C7078">
        <w:t>Die Kommission fordert das</w:t>
      </w:r>
      <w:r w:rsidR="00374782">
        <w:t xml:space="preserve"> </w:t>
      </w:r>
      <w:r w:rsidRPr="004C7078">
        <w:t>Parlament und die Mitgliedstaaten auf, die Maßnahmen gemeinsam voranzubringen. Außerdem sollen sie im Rahmen der Expertengruppe für öffentliche Gesundheit überwacht und Stakeholdern die Möglichkeit eingeräumt werden, über die EU-Plattform für Gesundheitspolitik mitzuarbeiten und gemeinsame Beiträge zur Entwicklung und Durchführung der beschriebenen Maßnahmen zu koordinieren. (CR)</w:t>
      </w:r>
    </w:p>
    <w:p w14:paraId="4C56E621" w14:textId="77777777" w:rsidR="00A87727" w:rsidRDefault="00A87727" w:rsidP="00A87727">
      <w:pPr>
        <w:pStyle w:val="BAText"/>
      </w:pPr>
    </w:p>
    <w:p w14:paraId="7F5F26EE" w14:textId="77777777" w:rsidR="0001313E" w:rsidRPr="003E0621" w:rsidRDefault="0001313E" w:rsidP="00693D5C">
      <w:pPr>
        <w:pStyle w:val="BATitel"/>
      </w:pPr>
      <w:bookmarkStart w:id="23" w:name="_Toc137201579"/>
      <w:r>
        <w:t>Grenzüberschreitende Rechtsverfahren: Stärkung schutzbedürftiger Erwachsener</w:t>
      </w:r>
      <w:bookmarkEnd w:id="23"/>
    </w:p>
    <w:p w14:paraId="006575BF" w14:textId="77777777" w:rsidR="0001313E" w:rsidRPr="00266FF8" w:rsidRDefault="0001313E" w:rsidP="0001313E">
      <w:pPr>
        <w:pStyle w:val="BAText"/>
      </w:pPr>
      <w:r w:rsidRPr="00266FF8">
        <w:t xml:space="preserve">Am 31. Mai 2023 unterbreitete die EU-Kommission einen </w:t>
      </w:r>
      <w:hyperlink r:id="rId43" w:history="1">
        <w:r w:rsidRPr="00DC54B0">
          <w:rPr>
            <w:rStyle w:val="Hyperlink"/>
          </w:rPr>
          <w:t>Verordnungsvorschlag</w:t>
        </w:r>
      </w:hyperlink>
      <w:r w:rsidRPr="00266FF8">
        <w:t xml:space="preserve"> </w:t>
      </w:r>
      <w:r>
        <w:t xml:space="preserve">(englischsprachig) </w:t>
      </w:r>
      <w:r w:rsidRPr="00266FF8">
        <w:t xml:space="preserve">zur Stärkung der Rechte von schutzbedürftigen Erwachsenen bei grenzüberschreitenden Rechtsverfahren sowie einen </w:t>
      </w:r>
      <w:hyperlink r:id="rId44" w:history="1">
        <w:r w:rsidRPr="00DC54B0">
          <w:rPr>
            <w:rStyle w:val="Hyperlink"/>
          </w:rPr>
          <w:t>Vorschlag</w:t>
        </w:r>
      </w:hyperlink>
      <w:r w:rsidRPr="00266FF8">
        <w:t xml:space="preserve"> (englischsprachig) für einen Ratsbeschluss, mit dem die Mitgliedstaaten verpflichtet werden sollen, Vertragsparteien des </w:t>
      </w:r>
      <w:hyperlink r:id="rId45" w:anchor="__bgbl__%2F%2F*%5B%40attr_id%3D%27bgbl207s0323.pdf%27%5D__1686226127075" w:history="1">
        <w:r w:rsidRPr="00DC54B0">
          <w:rPr>
            <w:rStyle w:val="Hyperlink"/>
          </w:rPr>
          <w:t>Haager</w:t>
        </w:r>
      </w:hyperlink>
      <w:r w:rsidRPr="00266FF8">
        <w:t xml:space="preserve"> Übereinkommens von 2000 über den Schutz von Erwachsenen zu werden oder zu bleiben. Ziele beider Vorschläge sind der Schutz der Rechte, eine bessere Rechtssicherheit und Vorhersehbarkeit in grenzüberschreitenden Situationen sowie effizientere grenzüberschreitende Verfahren bzgl. des Schutzes von </w:t>
      </w:r>
      <w:r w:rsidRPr="00A217B8">
        <w:t xml:space="preserve">schutzbedürftigen </w:t>
      </w:r>
      <w:r w:rsidRPr="00266FF8">
        <w:t>Erwachsenen. Vom Vorschlag betroffene Erwachsene sind außerstande, ihre eigenen Interessen zu schützen, u. a. aufgrund einer dauerhaften oder vorübergehenden Beeinträchtigung oder Unzulänglichkeit. Der Kommission zufolge gibt es derzeit noch keine EU-Rechtsvorschriften, die konkret den Schutz von Erwachsenen in grenzüberschreitenden Situationen abdecken. Der Verordnungsvorschlag muss noch von EU-Parlament und Rat erörtert und verabschiedet werden, der Rat nimmt den Vorschlag für einen Beschluss des Rates nach Anhörung im Parlament an. (CR)</w:t>
      </w:r>
    </w:p>
    <w:p w14:paraId="4F332DFA" w14:textId="77777777" w:rsidR="00A614F2" w:rsidRDefault="00A614F2" w:rsidP="00693D5C">
      <w:pPr>
        <w:pStyle w:val="BATitel"/>
      </w:pPr>
      <w:bookmarkStart w:id="24" w:name="_Toc137201580"/>
      <w:r>
        <w:lastRenderedPageBreak/>
        <w:t>Migration I: Instrumentarium gegen Schleusungen über gewerbliche Beförderer</w:t>
      </w:r>
      <w:bookmarkEnd w:id="24"/>
    </w:p>
    <w:p w14:paraId="79779FEA" w14:textId="77777777" w:rsidR="00A614F2" w:rsidRDefault="00A614F2" w:rsidP="003E4A9B">
      <w:pPr>
        <w:pStyle w:val="BAText"/>
      </w:pPr>
      <w:r>
        <w:t>Am 6. Juni 2023 stellte die EU-Kommission ein Instrumentenkasten (</w:t>
      </w:r>
      <w:hyperlink r:id="rId46" w:history="1">
        <w:r>
          <w:rPr>
            <w:rStyle w:val="Hyperlink"/>
          </w:rPr>
          <w:t>englischsprachig</w:t>
        </w:r>
      </w:hyperlink>
      <w:r>
        <w:t xml:space="preserve">) zur Bekämpfung des Missbrauchs der gewerblichen Beförderung bei der irregulären Migration und Schleusung in die EU durch kriminelle Netzwerke vor. Mit diesem Instrumentarium möchte die Kommission die Mitgliedstaaten mit strategischen Maßnahmen unterstützen, die auf drei Säulen bauen: legislative, operative und diplomatische Maßnahmen. Ziel soll es demnach sein, gegen Fälle vorzugehen, in denen gewerbliche Verkehrsmittel zur Ermöglichung von irregulärer Migration in die EU missbraucht werden. Im Rahmen der legislativen Maßnahmen werden EU-Parlament und Rat aufgefordert, einen entsprechenden </w:t>
      </w:r>
      <w:hyperlink r:id="rId47" w:history="1">
        <w:r>
          <w:rPr>
            <w:rStyle w:val="Hyperlink"/>
          </w:rPr>
          <w:t>Verordnungs</w:t>
        </w:r>
      </w:hyperlink>
      <w:r>
        <w:t>-Vorschlag der Kommission aus 2021 zu verabschieden. Hinsichtlich der operativen und diplomatischen Maßnahmen wird eine bessere Zusammenarbeit zwischen den Mitgliedstaaten sowie eine stärkere Rolle von kommerziellen Verkehrsanbietern, v. a. im Flugverkehr, und von Partnerländern bei der Unterbindung der Schleusung von Migranten angemahnt. (NL)</w:t>
      </w:r>
    </w:p>
    <w:p w14:paraId="233E2EE8" w14:textId="77777777" w:rsidR="0009122E" w:rsidRPr="003E4A9B" w:rsidRDefault="0009122E">
      <w:pPr>
        <w:rPr>
          <w:rFonts w:ascii="Open Sans" w:eastAsia="Times New Roman" w:hAnsi="Open Sans" w:cs="Times New Roman"/>
          <w:color w:val="262626" w:themeColor="text1" w:themeTint="D9"/>
          <w:sz w:val="21"/>
          <w:szCs w:val="24"/>
          <w:lang w:eastAsia="de-DE"/>
        </w:rPr>
      </w:pPr>
    </w:p>
    <w:p w14:paraId="09D6EC13" w14:textId="77777777" w:rsidR="00A614F2" w:rsidRDefault="00A614F2" w:rsidP="00693D5C">
      <w:pPr>
        <w:pStyle w:val="BATitel"/>
      </w:pPr>
      <w:bookmarkStart w:id="25" w:name="_Toc137201581"/>
      <w:r>
        <w:t>Migration II: Kommission schlägt Aktionsplan für Mittelmeer- und Atlantikroute vor</w:t>
      </w:r>
      <w:bookmarkEnd w:id="25"/>
    </w:p>
    <w:p w14:paraId="152B5139" w14:textId="0F5AA896" w:rsidR="00A614F2" w:rsidRDefault="00A614F2" w:rsidP="003E4A9B">
      <w:pPr>
        <w:pStyle w:val="BAText"/>
      </w:pPr>
      <w:r>
        <w:t xml:space="preserve">In Vorbereitung auf die Tagung des EU-Innenministerrats (8. Juni 2023) und auf den nächsten Europäischen Rat (29./30. Juni 2023) stellte die EU-Kommission am 6. Juni 2023 einen </w:t>
      </w:r>
      <w:hyperlink r:id="rId48" w:history="1">
        <w:r w:rsidRPr="006A7C03">
          <w:rPr>
            <w:rStyle w:val="Hyperlink"/>
          </w:rPr>
          <w:t>EU-Aktionsplan</w:t>
        </w:r>
      </w:hyperlink>
      <w:r>
        <w:t xml:space="preserve"> (englischsprachig) </w:t>
      </w:r>
      <w:r w:rsidRPr="006A7C03">
        <w:t>für die Migrationsrouten im westlichen Mittelmeerraum und im Atlantik</w:t>
      </w:r>
      <w:r>
        <w:t xml:space="preserve"> vor. Somit wurde die Kommission zum bereits dritten Mal durch den Rat aufgefordert, konkrete Aktionspläne für wichtige Migrationsrouten in die EU auszuarbeiten (</w:t>
      </w:r>
      <w:r w:rsidRPr="006A7C03">
        <w:rPr>
          <w:i/>
          <w:iCs/>
        </w:rPr>
        <w:t>Brüssel Aktuell</w:t>
      </w:r>
      <w:r>
        <w:t xml:space="preserve"> 5/2023), nachdem Ende 2022 schon Pläne für das zentrale Mittelmeer und den westlichen Balkan vorgelegt wurden. Dieser Aktionsplan umfasst 18 operative Maßnahme, die sich als erste Säule auf eine Intensivierung der Zusammenarbeit mit den Partnerländern und als zweite Säule auf eine </w:t>
      </w:r>
      <w:r w:rsidRPr="00BC443C">
        <w:t xml:space="preserve">Intensivierung der operativen Maßnahmen im Bereich Suche und Rettung, der Rückkehrverfahren sowie </w:t>
      </w:r>
      <w:r>
        <w:t xml:space="preserve">des </w:t>
      </w:r>
      <w:r w:rsidRPr="00BC443C">
        <w:t>freiwilligen Solidaritätsmechanismus</w:t>
      </w:r>
      <w:r>
        <w:t xml:space="preserve"> stützen. Die Bürogemeinschaft wird über die Ergebnisse des Treffens der </w:t>
      </w:r>
      <w:proofErr w:type="spellStart"/>
      <w:r>
        <w:t>EU-</w:t>
      </w:r>
      <w:proofErr w:type="gramStart"/>
      <w:r>
        <w:t>Innenminister:innen</w:t>
      </w:r>
      <w:proofErr w:type="spellEnd"/>
      <w:proofErr w:type="gramEnd"/>
      <w:r>
        <w:t xml:space="preserve">, die das Paket zu Asyl und Migration beraten werden (zuletzt: </w:t>
      </w:r>
      <w:r w:rsidRPr="00BC443C">
        <w:rPr>
          <w:i/>
          <w:iCs/>
        </w:rPr>
        <w:t>Brüssel Aktuell</w:t>
      </w:r>
      <w:r>
        <w:t> 8/2023), und des Europäischen Rats berichten. (NL)</w:t>
      </w:r>
    </w:p>
    <w:p w14:paraId="66A773B7" w14:textId="77777777" w:rsidR="00A87727" w:rsidRDefault="00A87727" w:rsidP="0001313E">
      <w:pPr>
        <w:pStyle w:val="BAText"/>
        <w:spacing w:line="360" w:lineRule="auto"/>
      </w:pPr>
    </w:p>
    <w:p w14:paraId="239A3660" w14:textId="77777777" w:rsidR="00A459C0" w:rsidRPr="007A2152" w:rsidRDefault="00A459C0" w:rsidP="00277867">
      <w:pPr>
        <w:pStyle w:val="BAKategorie"/>
      </w:pPr>
      <w:bookmarkStart w:id="26" w:name="_Toc137201582"/>
      <w:bookmarkEnd w:id="20"/>
      <w:bookmarkEnd w:id="21"/>
      <w:r>
        <w:t>Institutionen, Grundsätzliches und weiter</w:t>
      </w:r>
      <w:r w:rsidR="00F0400D">
        <w:t>e</w:t>
      </w:r>
      <w:r>
        <w:t xml:space="preserve"> EU-Themen</w:t>
      </w:r>
      <w:bookmarkEnd w:id="26"/>
    </w:p>
    <w:p w14:paraId="2A3D2A72" w14:textId="77777777" w:rsidR="00922552" w:rsidRDefault="00922552" w:rsidP="00693D5C">
      <w:pPr>
        <w:pStyle w:val="BATitel"/>
      </w:pPr>
      <w:bookmarkStart w:id="27" w:name="_Toc137201583"/>
      <w:r>
        <w:t xml:space="preserve">Katastrophenschutz: EU verdoppelt </w:t>
      </w:r>
      <w:proofErr w:type="spellStart"/>
      <w:r>
        <w:t>rescEU</w:t>
      </w:r>
      <w:proofErr w:type="spellEnd"/>
      <w:r>
        <w:t>-Brandbekämpfungsflotte</w:t>
      </w:r>
      <w:bookmarkEnd w:id="27"/>
    </w:p>
    <w:p w14:paraId="079227D1" w14:textId="77777777" w:rsidR="00922552" w:rsidRDefault="00922552" w:rsidP="003E4A9B">
      <w:pPr>
        <w:pStyle w:val="BAText"/>
      </w:pPr>
      <w:r>
        <w:t xml:space="preserve">Die EU-Kommission weitet die </w:t>
      </w:r>
      <w:hyperlink r:id="rId49" w:history="1">
        <w:r w:rsidRPr="00CA3786">
          <w:rPr>
            <w:rStyle w:val="Hyperlink"/>
          </w:rPr>
          <w:t>Kapazitäten</w:t>
        </w:r>
      </w:hyperlink>
      <w:r>
        <w:t xml:space="preserve"> der europäischen Brandbekämpfungsflotte (</w:t>
      </w:r>
      <w:proofErr w:type="spellStart"/>
      <w:r>
        <w:fldChar w:fldCharType="begin"/>
      </w:r>
      <w:r>
        <w:instrText xml:space="preserve"> HYPERLINK "https://civil-protection-humanitarian-aid.ec.europa.eu/what/civil-protection/resceu_en" </w:instrText>
      </w:r>
      <w:r>
        <w:fldChar w:fldCharType="separate"/>
      </w:r>
      <w:r w:rsidRPr="00C105EF">
        <w:rPr>
          <w:rStyle w:val="Hyperlink"/>
        </w:rPr>
        <w:t>rescEU</w:t>
      </w:r>
      <w:proofErr w:type="spellEnd"/>
      <w:r>
        <w:fldChar w:fldCharType="end"/>
      </w:r>
      <w:r>
        <w:t>) im Rahmen des EU-Katastrophenschutzverfahrens für 2023 aus. Insgesamt stehen 24 Flugzeuge und 4 Hubschrauber aus 10 Mitgliedstaaten bereit. Deutschland stellt dafür zwei Leichtflugzeuge zur Verfügung. Zudem beteiligt sich Deutschland mit weiteren Mitgliedstaaten an einer Entsendung von 450 Feuerwehrleuten, die in Frankreich, Griechenland und Polen stationiert werden sollen. Darüber hinaus soll der Austausch zwischen den Mitgliedstaaten mit einer Waldbrand-Peer-Review-</w:t>
      </w:r>
      <w:hyperlink r:id="rId50" w:history="1">
        <w:r w:rsidRPr="00CA3786">
          <w:rPr>
            <w:rStyle w:val="Hyperlink"/>
          </w:rPr>
          <w:t>Bewertungsmethode</w:t>
        </w:r>
      </w:hyperlink>
      <w:r>
        <w:t xml:space="preserve"> (englischsprachig) unterstützt werden. Diese soll u. a. einen Beitrag zur Brandprävention leisten. (PW)</w:t>
      </w:r>
    </w:p>
    <w:p w14:paraId="6E7ED7D8" w14:textId="77777777" w:rsidR="004676D5" w:rsidRDefault="004676D5">
      <w:pPr>
        <w:rPr>
          <w:rFonts w:ascii="Open Sans" w:eastAsia="Times New Roman" w:hAnsi="Open Sans" w:cs="Times New Roman"/>
          <w:color w:val="262626" w:themeColor="text1" w:themeTint="D9"/>
          <w:sz w:val="21"/>
          <w:szCs w:val="24"/>
          <w:lang w:eastAsia="de-DE"/>
        </w:rPr>
      </w:pPr>
    </w:p>
    <w:p w14:paraId="132B7208" w14:textId="77777777" w:rsidR="00E12E29" w:rsidRPr="007A2152" w:rsidRDefault="00E12E29" w:rsidP="00277867">
      <w:pPr>
        <w:pStyle w:val="BAKategorie"/>
      </w:pPr>
      <w:bookmarkStart w:id="28" w:name="_Toc137201584"/>
      <w:r>
        <w:t>Fördermöglichkeiten und Aufrufe</w:t>
      </w:r>
      <w:bookmarkEnd w:id="28"/>
    </w:p>
    <w:p w14:paraId="1DBC65D9" w14:textId="77777777" w:rsidR="009447A4" w:rsidRDefault="009447A4" w:rsidP="00693D5C">
      <w:pPr>
        <w:pStyle w:val="BATitel"/>
      </w:pPr>
      <w:bookmarkStart w:id="29" w:name="_Toc137201585"/>
      <w:r>
        <w:t>Europäische Stadtinitiative: Zweiter Förderaufruf gestartet</w:t>
      </w:r>
      <w:bookmarkEnd w:id="29"/>
    </w:p>
    <w:p w14:paraId="5F9BEA5B" w14:textId="40BB6120" w:rsidR="009447A4" w:rsidRDefault="009447A4" w:rsidP="009447A4">
      <w:pPr>
        <w:pStyle w:val="BAText"/>
      </w:pPr>
      <w:r>
        <w:t>Am 31. Mai 2023 veröffentlichte die EU-Kommission die zweite Aufrufrunde für innovative städtische Projekte im Rahmen der Europäischen Stadtinitiative (</w:t>
      </w:r>
      <w:hyperlink r:id="rId51" w:history="1">
        <w:r w:rsidRPr="00070050">
          <w:rPr>
            <w:rStyle w:val="Hyperlink"/>
          </w:rPr>
          <w:t>EUI</w:t>
        </w:r>
      </w:hyperlink>
      <w:r>
        <w:t>). Gefördert werden mit einem Gesamtbudget von</w:t>
      </w:r>
      <w:r w:rsidR="001269CB">
        <w:t> </w:t>
      </w:r>
      <w:r>
        <w:t>120 Mio. €</w:t>
      </w:r>
      <w:r w:rsidR="00981D67">
        <w:t> </w:t>
      </w:r>
      <w:r>
        <w:t>innovative Projekte zur Entwicklung und Erprobung neuer Lösungen für aktuelle Herausforderungen in Städten. Dabei konzentriert sich der Aufruf auf drei Prioritäten</w:t>
      </w:r>
      <w:r w:rsidR="001269CB">
        <w:t>:</w:t>
      </w:r>
      <w:r>
        <w:t xml:space="preserve"> Umweltfreundlichere Städte, nachhaltiger Tourismus sowie die Talententwicklung in schrumpfenden Städten. 80 % der Kosten werden dabei aus dem Europäischen Fonds für regionale Entwicklung (EFRE) finanziert. Jedes Projekt kann </w:t>
      </w:r>
      <w:r>
        <w:lastRenderedPageBreak/>
        <w:t>bis zu 5 Mio.</w:t>
      </w:r>
      <w:r w:rsidR="00374782">
        <w:t> </w:t>
      </w:r>
      <w:r>
        <w:t xml:space="preserve">€ an Förderung erhalten. </w:t>
      </w:r>
      <w:hyperlink r:id="rId52" w:history="1">
        <w:r w:rsidRPr="00F966C8">
          <w:rPr>
            <w:rStyle w:val="Hyperlink"/>
          </w:rPr>
          <w:t>Bewerbungen</w:t>
        </w:r>
      </w:hyperlink>
      <w:r>
        <w:t xml:space="preserve"> sind einzeln oder als Gruppe möglich </w:t>
      </w:r>
      <w:r w:rsidR="001269CB">
        <w:t xml:space="preserve">und erfolgen </w:t>
      </w:r>
      <w:r>
        <w:t xml:space="preserve">über die Homepage der EUI. Bewerbungsfrist ist der </w:t>
      </w:r>
      <w:r w:rsidRPr="00070050">
        <w:rPr>
          <w:b/>
          <w:bCs/>
        </w:rPr>
        <w:t>5. Oktober 2023</w:t>
      </w:r>
      <w:r>
        <w:t xml:space="preserve">. </w:t>
      </w:r>
      <w:r w:rsidRPr="00070050">
        <w:t>Mit einem spezifischen</w:t>
      </w:r>
      <w:r>
        <w:t xml:space="preserve"> </w:t>
      </w:r>
      <w:r w:rsidRPr="00070050">
        <w:t>EFRE-Budget von 450 Mio.</w:t>
      </w:r>
      <w:r w:rsidR="00374782">
        <w:t> </w:t>
      </w:r>
      <w:r>
        <w:t xml:space="preserve">€ </w:t>
      </w:r>
      <w:r w:rsidRPr="00070050">
        <w:t>ist die EUI ein neuartiges Instrument zur Unterstützung der städtischen Dimension der Kohäsionspolitik im Programmplanungszeitraum 2021–2027.</w:t>
      </w:r>
      <w:r>
        <w:t xml:space="preserve"> (JK)</w:t>
      </w:r>
    </w:p>
    <w:p w14:paraId="16C01827" w14:textId="77777777" w:rsidR="00936B3B" w:rsidRDefault="00936B3B" w:rsidP="000C6E1A">
      <w:pPr>
        <w:rPr>
          <w:lang w:eastAsia="de-DE"/>
        </w:rPr>
      </w:pPr>
    </w:p>
    <w:p w14:paraId="41FDFBB8" w14:textId="1444AF8C" w:rsidR="00936B3B" w:rsidRDefault="00767821" w:rsidP="00767821">
      <w:pPr>
        <w:pStyle w:val="BADieWoche"/>
        <w:rPr>
          <w:lang w:eastAsia="de-DE"/>
        </w:rPr>
      </w:pPr>
      <w:r>
        <w:rPr>
          <w:lang w:eastAsia="de-DE"/>
        </w:rPr>
        <w:lastRenderedPageBreak/>
        <w:t>Die Woche</w:t>
      </w:r>
      <w:r w:rsidR="009555B3">
        <w:rPr>
          <w:lang w:eastAsia="de-DE"/>
        </w:rPr>
        <w:t xml:space="preserve"> in den Europabüros der bayerischen,</w:t>
      </w:r>
      <w:r w:rsidR="00FD0AAC">
        <w:rPr>
          <w:lang w:eastAsia="de-DE"/>
        </w:rPr>
        <w:br/>
      </w:r>
      <w:r w:rsidR="009555B3">
        <w:rPr>
          <w:lang w:eastAsia="de-DE"/>
        </w:rPr>
        <w:t>baden-württembergischen und sächsischen Kommunen</w:t>
      </w:r>
    </w:p>
    <w:p w14:paraId="17CCB10C"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Austausch mit Dr. Karin Hipper und Cara Stauß, Landesvertretung Baden-Württemberg, Ministerium für Ländlichen Raum und für Verbraucherschutz</w:t>
      </w:r>
    </w:p>
    <w:p w14:paraId="22B0EA96"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Austausch mit Sebastian Schöneck, Region Frankfurt-Rhein-Main</w:t>
      </w:r>
    </w:p>
    <w:p w14:paraId="78244312" w14:textId="3E773928"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Gespräch mit Frau Viktoria Reisch, Germanwatch e.</w:t>
      </w:r>
      <w:r w:rsidR="00365C0C">
        <w:rPr>
          <w:rStyle w:val="normaltextrun"/>
          <w:rFonts w:cs="Open Sans"/>
          <w:color w:val="262626"/>
          <w:szCs w:val="21"/>
        </w:rPr>
        <w:t> </w:t>
      </w:r>
      <w:r w:rsidRPr="00ED07F2">
        <w:rPr>
          <w:rStyle w:val="normaltextrun"/>
          <w:rFonts w:cs="Open Sans"/>
          <w:color w:val="262626"/>
          <w:szCs w:val="21"/>
        </w:rPr>
        <w:t>V.</w:t>
      </w:r>
    </w:p>
    <w:p w14:paraId="222E0DCA"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Kurzstatement auf der von der Vertretung des Freistaates Bayern bei der Europäischen Union organisierten Podiumsdiskussion „Zwischen Wunsch und Wirklichkeit – Wege zur sozialverträglichen Sanierung von Gebäuden“</w:t>
      </w:r>
    </w:p>
    <w:p w14:paraId="5BD3C8C9"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Teilnahme an der Online-Sitzung der Fachkommission für bürgerliche Freiheiten, Justiz und Inneres im Europäischen Parlament</w:t>
      </w:r>
    </w:p>
    <w:p w14:paraId="66CAAF05"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Teilnahme ENVI-Ausschuss EU-Parlament, „Net Zero Industry Act“</w:t>
      </w:r>
    </w:p>
    <w:p w14:paraId="08A93128"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 xml:space="preserve">Teilnahme an der Konferenz „New pan-European network – Building Europe </w:t>
      </w:r>
      <w:proofErr w:type="spellStart"/>
      <w:r w:rsidRPr="00ED07F2">
        <w:rPr>
          <w:rStyle w:val="normaltextrun"/>
          <w:rFonts w:cs="Open Sans"/>
          <w:color w:val="262626"/>
          <w:szCs w:val="21"/>
        </w:rPr>
        <w:t>with</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Local</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Councillors</w:t>
      </w:r>
      <w:proofErr w:type="spellEnd"/>
      <w:r w:rsidRPr="00ED07F2">
        <w:rPr>
          <w:rStyle w:val="normaltextrun"/>
          <w:rFonts w:cs="Open Sans"/>
          <w:color w:val="262626"/>
          <w:szCs w:val="21"/>
        </w:rPr>
        <w:t>“ der Generaldirektion Kommunikation der Europäischen Kommission</w:t>
      </w:r>
    </w:p>
    <w:p w14:paraId="5DCF72F1"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Teilnahme an der Online-Sitzung der Arbeitsgruppe „Climate and Energy“ des Rates der Gemeinden und Regionen Europas</w:t>
      </w:r>
    </w:p>
    <w:p w14:paraId="7A797637"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Teilnahme an der Online-Sitzung der Taskforce zum Gigabit-Infrastrukturgesetz des Rates der Gemeinden und Regionen Europas</w:t>
      </w:r>
    </w:p>
    <w:p w14:paraId="20B9270D"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Teilnahme am Debriefing Verkehr und Telekommunikation, bei der Ständigen Vertretung der Bundesrepublik Deutschland in Brüssel</w:t>
      </w:r>
    </w:p>
    <w:p w14:paraId="7A1BD5FE"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Teilnahme am virtuellen Treffen des Arbeitskreises KMU zur Mitteilung „</w:t>
      </w:r>
      <w:proofErr w:type="spellStart"/>
      <w:r w:rsidRPr="00ED07F2">
        <w:rPr>
          <w:rStyle w:val="normaltextrun"/>
          <w:rFonts w:cs="Open Sans"/>
          <w:color w:val="262626"/>
          <w:szCs w:val="21"/>
        </w:rPr>
        <w:t>Biobased</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biodegradable</w:t>
      </w:r>
      <w:proofErr w:type="spellEnd"/>
      <w:r w:rsidRPr="00ED07F2">
        <w:rPr>
          <w:rStyle w:val="normaltextrun"/>
          <w:rFonts w:cs="Open Sans"/>
          <w:color w:val="262626"/>
          <w:szCs w:val="21"/>
        </w:rPr>
        <w:t xml:space="preserve"> and </w:t>
      </w:r>
      <w:proofErr w:type="spellStart"/>
      <w:r w:rsidRPr="00ED07F2">
        <w:rPr>
          <w:rStyle w:val="normaltextrun"/>
          <w:rFonts w:cs="Open Sans"/>
          <w:color w:val="262626"/>
          <w:szCs w:val="21"/>
        </w:rPr>
        <w:t>compostable</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plastics</w:t>
      </w:r>
      <w:proofErr w:type="spellEnd"/>
      <w:r w:rsidRPr="00ED07F2">
        <w:rPr>
          <w:rStyle w:val="normaltextrun"/>
          <w:rFonts w:cs="Open Sans"/>
          <w:color w:val="262626"/>
          <w:szCs w:val="21"/>
        </w:rPr>
        <w:t>“ auf Einladung der Landes- und Interessenvertretungen</w:t>
      </w:r>
    </w:p>
    <w:p w14:paraId="18ED5AED" w14:textId="2B0022A9"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Teilnahme an der Veranstaltung "Zwischen Wunsch und Wirklichkeit - Wege zur sozialverträglichen Sanierung von Gebäuden", in der Vertretung des Freistaates Bayern bei der E</w:t>
      </w:r>
      <w:r>
        <w:rPr>
          <w:rStyle w:val="normaltextrun"/>
          <w:rFonts w:cs="Open Sans"/>
          <w:color w:val="262626"/>
          <w:szCs w:val="21"/>
        </w:rPr>
        <w:t>uropäischen Union</w:t>
      </w:r>
    </w:p>
    <w:p w14:paraId="184AF651"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Teilnahme an der Veranstaltung „Digitalisierung und Effizienz: Kann das Gigabit Infrastruktur Gesetz Deutschland auf die Überholspur bringen?“, in der Landesvertretung Hessen in Brüssel</w:t>
      </w:r>
    </w:p>
    <w:p w14:paraId="0ED849BC" w14:textId="0C301538"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 xml:space="preserve">Teilnahme an der Veranstaltung </w:t>
      </w:r>
      <w:r>
        <w:rPr>
          <w:rStyle w:val="normaltextrun"/>
          <w:rFonts w:cs="Open Sans"/>
          <w:color w:val="262626"/>
          <w:szCs w:val="21"/>
        </w:rPr>
        <w:t>„</w:t>
      </w:r>
      <w:r w:rsidRPr="00ED07F2">
        <w:rPr>
          <w:rStyle w:val="normaltextrun"/>
          <w:rFonts w:cs="Open Sans"/>
          <w:color w:val="262626"/>
          <w:szCs w:val="21"/>
        </w:rPr>
        <w:t>Welche Impulse gibt die Neufassung der EU-Gebäuderichtlinie?</w:t>
      </w:r>
      <w:r>
        <w:rPr>
          <w:rStyle w:val="normaltextrun"/>
          <w:rFonts w:cs="Open Sans"/>
          <w:color w:val="262626"/>
          <w:szCs w:val="21"/>
        </w:rPr>
        <w:t>“</w:t>
      </w:r>
      <w:r w:rsidRPr="00ED07F2">
        <w:rPr>
          <w:rStyle w:val="normaltextrun"/>
          <w:rFonts w:cs="Open Sans"/>
          <w:color w:val="262626"/>
          <w:szCs w:val="21"/>
        </w:rPr>
        <w:t>, in der Landesvertretung Rheinland-Pfalz in Brüssel</w:t>
      </w:r>
    </w:p>
    <w:p w14:paraId="58749ED9" w14:textId="77777777"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 xml:space="preserve">Teilnahme an der Diskussionsveranstaltung „Stimmen und Einfluss der jungen Generationen in Europa – Wie generationengerecht ist die Europapolitik?“ der Hanns-Seidel-Stiftung und der Bayerischen </w:t>
      </w:r>
      <w:proofErr w:type="spellStart"/>
      <w:r w:rsidRPr="00ED07F2">
        <w:rPr>
          <w:rStyle w:val="normaltextrun"/>
          <w:rFonts w:cs="Open Sans"/>
          <w:color w:val="262626"/>
          <w:szCs w:val="21"/>
        </w:rPr>
        <w:t>EliteAkademie</w:t>
      </w:r>
      <w:proofErr w:type="spellEnd"/>
    </w:p>
    <w:p w14:paraId="0CFED47C" w14:textId="44CE6EA3" w:rsidR="00ED07F2" w:rsidRPr="00ED07F2" w:rsidRDefault="00ED07F2" w:rsidP="00ED07F2">
      <w:pPr>
        <w:pStyle w:val="BABullets"/>
        <w:rPr>
          <w:rStyle w:val="normaltextrun"/>
          <w:rFonts w:cs="Open Sans"/>
          <w:color w:val="262626"/>
          <w:szCs w:val="21"/>
        </w:rPr>
      </w:pPr>
      <w:r w:rsidRPr="00ED07F2">
        <w:rPr>
          <w:rStyle w:val="normaltextrun"/>
          <w:rFonts w:cs="Open Sans"/>
          <w:color w:val="262626"/>
          <w:szCs w:val="21"/>
        </w:rPr>
        <w:t>Teilnahme am Parlamentarischen Abend des Arbeitgeberverbandes Gesamtmetall e.</w:t>
      </w:r>
      <w:r w:rsidR="00365C0C">
        <w:rPr>
          <w:rStyle w:val="normaltextrun"/>
          <w:rFonts w:cs="Open Sans"/>
          <w:color w:val="262626"/>
          <w:szCs w:val="21"/>
        </w:rPr>
        <w:t> </w:t>
      </w:r>
      <w:r w:rsidRPr="00ED07F2">
        <w:rPr>
          <w:rStyle w:val="normaltextrun"/>
          <w:rFonts w:cs="Open Sans"/>
          <w:color w:val="262626"/>
          <w:szCs w:val="21"/>
        </w:rPr>
        <w:t xml:space="preserve">V. zum Thema „A </w:t>
      </w:r>
      <w:proofErr w:type="spellStart"/>
      <w:r w:rsidRPr="00ED07F2">
        <w:rPr>
          <w:rStyle w:val="normaltextrun"/>
          <w:rFonts w:cs="Open Sans"/>
          <w:color w:val="262626"/>
          <w:szCs w:val="21"/>
        </w:rPr>
        <w:t>truck</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for</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skills</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How</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to</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spark</w:t>
      </w:r>
      <w:proofErr w:type="spellEnd"/>
      <w:r w:rsidRPr="00ED07F2">
        <w:rPr>
          <w:rStyle w:val="normaltextrun"/>
          <w:rFonts w:cs="Open Sans"/>
          <w:color w:val="262626"/>
          <w:szCs w:val="21"/>
        </w:rPr>
        <w:t xml:space="preserve"> a </w:t>
      </w:r>
      <w:proofErr w:type="spellStart"/>
      <w:r w:rsidRPr="00ED07F2">
        <w:rPr>
          <w:rStyle w:val="normaltextrun"/>
          <w:rFonts w:cs="Open Sans"/>
          <w:color w:val="262626"/>
          <w:szCs w:val="21"/>
        </w:rPr>
        <w:t>passion</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for</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the</w:t>
      </w:r>
      <w:proofErr w:type="spellEnd"/>
      <w:r w:rsidRPr="00ED07F2">
        <w:rPr>
          <w:rStyle w:val="normaltextrun"/>
          <w:rFonts w:cs="Open Sans"/>
          <w:color w:val="262626"/>
          <w:szCs w:val="21"/>
        </w:rPr>
        <w:t xml:space="preserve"> MET </w:t>
      </w:r>
      <w:proofErr w:type="spellStart"/>
      <w:r w:rsidRPr="00ED07F2">
        <w:rPr>
          <w:rStyle w:val="normaltextrun"/>
          <w:rFonts w:cs="Open Sans"/>
          <w:color w:val="262626"/>
          <w:szCs w:val="21"/>
        </w:rPr>
        <w:t>industry</w:t>
      </w:r>
      <w:proofErr w:type="spellEnd"/>
      <w:r w:rsidRPr="00ED07F2">
        <w:rPr>
          <w:rStyle w:val="normaltextrun"/>
          <w:rFonts w:cs="Open Sans"/>
          <w:color w:val="262626"/>
          <w:szCs w:val="21"/>
        </w:rPr>
        <w:t xml:space="preserve"> and </w:t>
      </w:r>
      <w:proofErr w:type="spellStart"/>
      <w:r w:rsidRPr="00ED07F2">
        <w:rPr>
          <w:rStyle w:val="normaltextrun"/>
          <w:rFonts w:cs="Open Sans"/>
          <w:color w:val="262626"/>
          <w:szCs w:val="21"/>
        </w:rPr>
        <w:t>attract</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Europe's</w:t>
      </w:r>
      <w:proofErr w:type="spellEnd"/>
      <w:r w:rsidRPr="00ED07F2">
        <w:rPr>
          <w:rStyle w:val="normaltextrun"/>
          <w:rFonts w:cs="Open Sans"/>
          <w:color w:val="262626"/>
          <w:szCs w:val="21"/>
        </w:rPr>
        <w:t xml:space="preserve"> </w:t>
      </w:r>
      <w:proofErr w:type="spellStart"/>
      <w:r w:rsidRPr="00ED07F2">
        <w:rPr>
          <w:rStyle w:val="normaltextrun"/>
          <w:rFonts w:cs="Open Sans"/>
          <w:color w:val="262626"/>
          <w:szCs w:val="21"/>
        </w:rPr>
        <w:t>next</w:t>
      </w:r>
      <w:proofErr w:type="spellEnd"/>
      <w:r w:rsidRPr="00ED07F2">
        <w:rPr>
          <w:rStyle w:val="normaltextrun"/>
          <w:rFonts w:cs="Open Sans"/>
          <w:color w:val="262626"/>
          <w:szCs w:val="21"/>
        </w:rPr>
        <w:t xml:space="preserve"> STEM </w:t>
      </w:r>
      <w:proofErr w:type="spellStart"/>
      <w:r w:rsidRPr="00ED07F2">
        <w:rPr>
          <w:rStyle w:val="normaltextrun"/>
          <w:rFonts w:cs="Open Sans"/>
          <w:color w:val="262626"/>
          <w:szCs w:val="21"/>
        </w:rPr>
        <w:t>generation</w:t>
      </w:r>
      <w:proofErr w:type="spellEnd"/>
      <w:r w:rsidRPr="00ED07F2">
        <w:rPr>
          <w:rStyle w:val="normaltextrun"/>
          <w:rFonts w:cs="Open Sans"/>
          <w:color w:val="262626"/>
          <w:szCs w:val="21"/>
        </w:rPr>
        <w:t>“</w:t>
      </w:r>
    </w:p>
    <w:p w14:paraId="02E75EBF" w14:textId="311AABC9" w:rsidR="00ED07F2" w:rsidRDefault="00ED07F2" w:rsidP="00ED07F2">
      <w:pPr>
        <w:pStyle w:val="BABullets"/>
      </w:pPr>
      <w:r w:rsidRPr="00ED07F2">
        <w:rPr>
          <w:rStyle w:val="normaltextrun"/>
          <w:rFonts w:cs="Open Sans"/>
          <w:color w:val="262626"/>
          <w:szCs w:val="21"/>
        </w:rPr>
        <w:t xml:space="preserve">Teilnahme an der Veranstaltung </w:t>
      </w:r>
      <w:r>
        <w:rPr>
          <w:rStyle w:val="normaltextrun"/>
          <w:rFonts w:cs="Open Sans"/>
          <w:color w:val="262626"/>
          <w:szCs w:val="21"/>
        </w:rPr>
        <w:t>„</w:t>
      </w:r>
      <w:r w:rsidRPr="00ED07F2">
        <w:rPr>
          <w:rStyle w:val="normaltextrun"/>
          <w:rFonts w:cs="Open Sans"/>
          <w:color w:val="262626"/>
          <w:szCs w:val="21"/>
        </w:rPr>
        <w:t>Kommunen sagen Ja zu Europa</w:t>
      </w:r>
      <w:r>
        <w:rPr>
          <w:rStyle w:val="normaltextrun"/>
          <w:rFonts w:cs="Open Sans"/>
          <w:color w:val="262626"/>
          <w:szCs w:val="21"/>
        </w:rPr>
        <w:t>“</w:t>
      </w:r>
    </w:p>
    <w:sectPr w:rsidR="00ED07F2" w:rsidSect="00F96A01">
      <w:footerReference w:type="even" r:id="rId53"/>
      <w:footerReference w:type="default" r:id="rId54"/>
      <w:pgSz w:w="11906" w:h="16838"/>
      <w:pgMar w:top="720" w:right="720" w:bottom="1021" w:left="720"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059E" w14:textId="77777777" w:rsidR="0023199B" w:rsidRDefault="0023199B" w:rsidP="007A3C75">
      <w:pPr>
        <w:spacing w:after="0" w:line="240" w:lineRule="auto"/>
      </w:pPr>
      <w:r>
        <w:separator/>
      </w:r>
    </w:p>
  </w:endnote>
  <w:endnote w:type="continuationSeparator" w:id="0">
    <w:p w14:paraId="11AF80FA" w14:textId="77777777" w:rsidR="0023199B" w:rsidRDefault="0023199B" w:rsidP="007A3C75">
      <w:pPr>
        <w:spacing w:after="0" w:line="240" w:lineRule="auto"/>
      </w:pPr>
      <w:r>
        <w:continuationSeparator/>
      </w:r>
    </w:p>
  </w:endnote>
  <w:endnote w:type="continuationNotice" w:id="1">
    <w:p w14:paraId="62323EC8" w14:textId="77777777" w:rsidR="0023199B" w:rsidRDefault="00231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53529812"/>
      <w:docPartObj>
        <w:docPartGallery w:val="Page Numbers (Bottom of Page)"/>
        <w:docPartUnique/>
      </w:docPartObj>
    </w:sdtPr>
    <w:sdtEndPr>
      <w:rPr>
        <w:rStyle w:val="Seitenzahl"/>
      </w:rPr>
    </w:sdtEndPr>
    <w:sdtContent>
      <w:p w14:paraId="4954C353" w14:textId="3F1A5473" w:rsidR="00B94386" w:rsidRDefault="00B94386" w:rsidP="00EC2778">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sidR="00FD0AAC">
          <w:rPr>
            <w:rStyle w:val="Seitenzahl"/>
          </w:rPr>
          <w:t>2</w:t>
        </w:r>
        <w:r>
          <w:rPr>
            <w:rStyle w:val="Seitenzahl"/>
          </w:rPr>
          <w:fldChar w:fldCharType="end"/>
        </w:r>
      </w:p>
    </w:sdtContent>
  </w:sdt>
  <w:p w14:paraId="53D61F58" w14:textId="77777777" w:rsidR="00B94386" w:rsidRDefault="00B94386" w:rsidP="00EC27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E0B5" w14:textId="39C7D63C" w:rsidR="008063E4" w:rsidRPr="00871654" w:rsidRDefault="008063E4" w:rsidP="0074011B">
    <w:pPr>
      <w:pStyle w:val="BAFuzeile"/>
    </w:pPr>
    <w:r w:rsidRPr="00726587">
      <w:rPr>
        <w:i/>
        <w:iCs/>
      </w:rPr>
      <mc:AlternateContent>
        <mc:Choice Requires="wps">
          <w:drawing>
            <wp:anchor distT="45720" distB="45720" distL="114300" distR="114300" simplePos="0" relativeHeight="251658752" behindDoc="0" locked="0" layoutInCell="1" allowOverlap="1" wp14:anchorId="4EB81DA7" wp14:editId="08566803">
              <wp:simplePos x="0" y="0"/>
              <wp:positionH relativeFrom="margin">
                <wp:posOffset>6360160</wp:posOffset>
              </wp:positionH>
              <wp:positionV relativeFrom="paragraph">
                <wp:posOffset>-20955</wp:posOffset>
              </wp:positionV>
              <wp:extent cx="257175" cy="257175"/>
              <wp:effectExtent l="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noFill/>
                        <a:miter lim="800000"/>
                        <a:headEnd/>
                        <a:tailEnd/>
                      </a:ln>
                    </wps:spPr>
                    <wps:txbx>
                      <w:txbxContent>
                        <w:p w14:paraId="75E0F47B" w14:textId="77777777" w:rsidR="008063E4" w:rsidRPr="0015784E" w:rsidRDefault="008063E4" w:rsidP="008063E4">
                          <w:pPr>
                            <w:rPr>
                              <w:rFonts w:ascii="Open Sans" w:hAnsi="Open Sans" w:cs="Open Sans"/>
                            </w:rPr>
                          </w:pPr>
                          <w:r w:rsidRPr="0015784E">
                            <w:rPr>
                              <w:rFonts w:ascii="Open Sans" w:hAnsi="Open Sans" w:cs="Open Sans"/>
                            </w:rPr>
                            <w:fldChar w:fldCharType="begin"/>
                          </w:r>
                          <w:r w:rsidRPr="0015784E">
                            <w:rPr>
                              <w:rFonts w:ascii="Open Sans" w:hAnsi="Open Sans" w:cs="Open Sans"/>
                            </w:rPr>
                            <w:instrText>PAGE   \* MERGEFORMAT</w:instrText>
                          </w:r>
                          <w:r w:rsidRPr="0015784E">
                            <w:rPr>
                              <w:rFonts w:ascii="Open Sans" w:hAnsi="Open Sans" w:cs="Open Sans"/>
                            </w:rPr>
                            <w:fldChar w:fldCharType="separate"/>
                          </w:r>
                          <w:r w:rsidRPr="0015784E">
                            <w:rPr>
                              <w:rFonts w:ascii="Open Sans" w:hAnsi="Open Sans" w:cs="Open Sans"/>
                            </w:rPr>
                            <w:t>1</w:t>
                          </w:r>
                          <w:r w:rsidRPr="0015784E">
                            <w:rPr>
                              <w:rFonts w:ascii="Open Sans" w:hAnsi="Open Sans" w:cs="Open San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81DA7" id="_x0000_t202" coordsize="21600,21600" o:spt="202" path="m,l,21600r21600,l21600,xe">
              <v:stroke joinstyle="miter"/>
              <v:path gradientshapeok="t" o:connecttype="rect"/>
            </v:shapetype>
            <v:shape id="Textfeld 2" o:spid="_x0000_s1026" type="#_x0000_t202" style="position:absolute;left:0;text-align:left;margin-left:500.8pt;margin-top:-1.65pt;width:20.25pt;height:20.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" stroked="f">
              <v:textbox>
                <w:txbxContent>
                  <w:p w14:paraId="75E0F47B" w14:textId="77777777" w:rsidR="008063E4" w:rsidRPr="0015784E" w:rsidRDefault="008063E4" w:rsidP="008063E4">
                    <w:pPr>
                      <w:rPr>
                        <w:rFonts w:ascii="Open Sans" w:hAnsi="Open Sans" w:cs="Open Sans"/>
                      </w:rPr>
                    </w:pPr>
                    <w:r w:rsidRPr="0015784E">
                      <w:rPr>
                        <w:rFonts w:ascii="Open Sans" w:hAnsi="Open Sans" w:cs="Open Sans"/>
                      </w:rPr>
                      <w:fldChar w:fldCharType="begin"/>
                    </w:r>
                    <w:r w:rsidRPr="0015784E">
                      <w:rPr>
                        <w:rFonts w:ascii="Open Sans" w:hAnsi="Open Sans" w:cs="Open Sans"/>
                      </w:rPr>
                      <w:instrText>PAGE   \* MERGEFORMAT</w:instrText>
                    </w:r>
                    <w:r w:rsidRPr="0015784E">
                      <w:rPr>
                        <w:rFonts w:ascii="Open Sans" w:hAnsi="Open Sans" w:cs="Open Sans"/>
                      </w:rPr>
                      <w:fldChar w:fldCharType="separate"/>
                    </w:r>
                    <w:r w:rsidRPr="0015784E">
                      <w:rPr>
                        <w:rFonts w:ascii="Open Sans" w:hAnsi="Open Sans" w:cs="Open Sans"/>
                      </w:rPr>
                      <w:t>1</w:t>
                    </w:r>
                    <w:r w:rsidRPr="0015784E">
                      <w:rPr>
                        <w:rFonts w:ascii="Open Sans" w:hAnsi="Open Sans" w:cs="Open Sans"/>
                      </w:rPr>
                      <w:fldChar w:fldCharType="end"/>
                    </w:r>
                  </w:p>
                </w:txbxContent>
              </v:textbox>
              <w10:wrap anchorx="margin"/>
            </v:shape>
          </w:pict>
        </mc:Fallback>
      </mc:AlternateContent>
    </w:r>
    <w:r w:rsidRPr="00726587">
      <w:rPr>
        <w:i/>
        <w:iCs/>
      </w:rPr>
      <w:t>Brüssel Aktuell</w:t>
    </w:r>
    <w:r w:rsidRPr="00EC2778">
      <w:t xml:space="preserve"> </w:t>
    </w:r>
    <w:r>
      <w:t>1</w:t>
    </w:r>
    <w:r w:rsidR="00FD0AAC">
      <w:t>1</w:t>
    </w:r>
    <w:r w:rsidRPr="00EC2778">
      <w:t>/202</w:t>
    </w:r>
    <w:r w:rsidR="00FD0AAC">
      <w:t>3</w:t>
    </w:r>
    <w:r w:rsidRPr="00EC2778">
      <w:t xml:space="preserve"> – </w:t>
    </w:r>
    <w:r w:rsidR="00FD0AAC">
      <w:t xml:space="preserve">26. Mai </w:t>
    </w:r>
    <w:r w:rsidRPr="00EC2778">
      <w:t xml:space="preserve">bis </w:t>
    </w:r>
    <w:r w:rsidR="00FD0AAC">
      <w:t>9</w:t>
    </w:r>
    <w:r w:rsidR="0017417A">
      <w:t>.</w:t>
    </w:r>
    <w:r w:rsidR="00FD0AAC">
      <w:t xml:space="preserve"> </w:t>
    </w:r>
    <w:r w:rsidR="000660EB">
      <w:t>Ju</w:t>
    </w:r>
    <w:r w:rsidR="00FD0AAC">
      <w:t>n</w:t>
    </w:r>
    <w:r w:rsidR="000660EB">
      <w:t>i</w:t>
    </w:r>
    <w:r w:rsidR="00FD0AAC">
      <w:t xml:space="preserve"> </w:t>
    </w:r>
    <w:r w:rsidR="000660EB">
      <w:t>202</w:t>
    </w:r>
    <w:r w:rsidR="00FD0AAC">
      <w:t>3</w:t>
    </w:r>
  </w:p>
  <w:p w14:paraId="13ED6C1A" w14:textId="77777777" w:rsidR="008063E4" w:rsidRDefault="008063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768A" w14:textId="77777777" w:rsidR="0023199B" w:rsidRDefault="0023199B" w:rsidP="007A3C75">
      <w:pPr>
        <w:spacing w:after="0" w:line="240" w:lineRule="auto"/>
      </w:pPr>
      <w:r>
        <w:separator/>
      </w:r>
    </w:p>
  </w:footnote>
  <w:footnote w:type="continuationSeparator" w:id="0">
    <w:p w14:paraId="61C58DE2" w14:textId="77777777" w:rsidR="0023199B" w:rsidRDefault="0023199B" w:rsidP="007A3C75">
      <w:pPr>
        <w:spacing w:after="0" w:line="240" w:lineRule="auto"/>
      </w:pPr>
      <w:r>
        <w:continuationSeparator/>
      </w:r>
    </w:p>
  </w:footnote>
  <w:footnote w:type="continuationNotice" w:id="1">
    <w:p w14:paraId="3DEF180A" w14:textId="77777777" w:rsidR="0023199B" w:rsidRDefault="002319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0C80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959186B"/>
    <w:multiLevelType w:val="hybridMultilevel"/>
    <w:tmpl w:val="20DE6204"/>
    <w:lvl w:ilvl="0" w:tplc="8B76C94A">
      <w:start w:val="1"/>
      <w:numFmt w:val="bullet"/>
      <w:pStyle w:val="BABulle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925444"/>
    <w:multiLevelType w:val="multilevel"/>
    <w:tmpl w:val="17CAE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4207A8"/>
    <w:multiLevelType w:val="hybridMultilevel"/>
    <w:tmpl w:val="E3408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8B7525"/>
    <w:multiLevelType w:val="hybridMultilevel"/>
    <w:tmpl w:val="D8EA1AA2"/>
    <w:lvl w:ilvl="0" w:tplc="4A447F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8682536">
    <w:abstractNumId w:val="4"/>
  </w:num>
  <w:num w:numId="2" w16cid:durableId="931815722">
    <w:abstractNumId w:val="3"/>
  </w:num>
  <w:num w:numId="3" w16cid:durableId="564339021">
    <w:abstractNumId w:val="1"/>
  </w:num>
  <w:num w:numId="4" w16cid:durableId="304819692">
    <w:abstractNumId w:val="0"/>
  </w:num>
  <w:num w:numId="5" w16cid:durableId="862984617">
    <w:abstractNumId w:val="0"/>
  </w:num>
  <w:num w:numId="6" w16cid:durableId="699278898">
    <w:abstractNumId w:val="0"/>
  </w:num>
  <w:num w:numId="7" w16cid:durableId="277369990">
    <w:abstractNumId w:val="0"/>
  </w:num>
  <w:num w:numId="8" w16cid:durableId="1286884875">
    <w:abstractNumId w:val="0"/>
  </w:num>
  <w:num w:numId="9" w16cid:durableId="1801918949">
    <w:abstractNumId w:val="0"/>
  </w:num>
  <w:num w:numId="10" w16cid:durableId="1392121814">
    <w:abstractNumId w:val="0"/>
  </w:num>
  <w:num w:numId="11" w16cid:durableId="425274044">
    <w:abstractNumId w:val="0"/>
  </w:num>
  <w:num w:numId="12" w16cid:durableId="1235505541">
    <w:abstractNumId w:val="0"/>
  </w:num>
  <w:num w:numId="13" w16cid:durableId="1368986447">
    <w:abstractNumId w:val="0"/>
  </w:num>
  <w:num w:numId="14" w16cid:durableId="303242941">
    <w:abstractNumId w:val="0"/>
  </w:num>
  <w:num w:numId="15" w16cid:durableId="166077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9B"/>
    <w:rsid w:val="0001313E"/>
    <w:rsid w:val="000206A7"/>
    <w:rsid w:val="00027D75"/>
    <w:rsid w:val="00036041"/>
    <w:rsid w:val="00040944"/>
    <w:rsid w:val="00042D2C"/>
    <w:rsid w:val="000504BA"/>
    <w:rsid w:val="00062547"/>
    <w:rsid w:val="000632F3"/>
    <w:rsid w:val="000643DC"/>
    <w:rsid w:val="000660EB"/>
    <w:rsid w:val="00074F9D"/>
    <w:rsid w:val="000862D8"/>
    <w:rsid w:val="0008742F"/>
    <w:rsid w:val="000879F8"/>
    <w:rsid w:val="0009122E"/>
    <w:rsid w:val="00097EC2"/>
    <w:rsid w:val="000C6E1A"/>
    <w:rsid w:val="000D181D"/>
    <w:rsid w:val="000D3007"/>
    <w:rsid w:val="000F519E"/>
    <w:rsid w:val="001039C7"/>
    <w:rsid w:val="0010707B"/>
    <w:rsid w:val="00115A3A"/>
    <w:rsid w:val="001269CB"/>
    <w:rsid w:val="00142650"/>
    <w:rsid w:val="0014456F"/>
    <w:rsid w:val="0015784E"/>
    <w:rsid w:val="001606DE"/>
    <w:rsid w:val="001658A2"/>
    <w:rsid w:val="0017003D"/>
    <w:rsid w:val="0017417A"/>
    <w:rsid w:val="00176F30"/>
    <w:rsid w:val="00181D97"/>
    <w:rsid w:val="001A0B7E"/>
    <w:rsid w:val="001C729E"/>
    <w:rsid w:val="001E4E28"/>
    <w:rsid w:val="001F4FAC"/>
    <w:rsid w:val="001F65B9"/>
    <w:rsid w:val="002012B9"/>
    <w:rsid w:val="00221495"/>
    <w:rsid w:val="00221952"/>
    <w:rsid w:val="0023199B"/>
    <w:rsid w:val="00246E24"/>
    <w:rsid w:val="002533BC"/>
    <w:rsid w:val="00277867"/>
    <w:rsid w:val="00284B90"/>
    <w:rsid w:val="00291A78"/>
    <w:rsid w:val="002B4AB3"/>
    <w:rsid w:val="002F6FAE"/>
    <w:rsid w:val="003050E4"/>
    <w:rsid w:val="00311337"/>
    <w:rsid w:val="003118F9"/>
    <w:rsid w:val="00321914"/>
    <w:rsid w:val="00336752"/>
    <w:rsid w:val="00337D37"/>
    <w:rsid w:val="00355244"/>
    <w:rsid w:val="00365C0C"/>
    <w:rsid w:val="003722D9"/>
    <w:rsid w:val="00374782"/>
    <w:rsid w:val="00397E30"/>
    <w:rsid w:val="003B4107"/>
    <w:rsid w:val="003D0C50"/>
    <w:rsid w:val="003D6748"/>
    <w:rsid w:val="003E0A79"/>
    <w:rsid w:val="003E4A9B"/>
    <w:rsid w:val="003F10A5"/>
    <w:rsid w:val="00401BB4"/>
    <w:rsid w:val="0043452F"/>
    <w:rsid w:val="00452E40"/>
    <w:rsid w:val="00462A8F"/>
    <w:rsid w:val="004676D5"/>
    <w:rsid w:val="00474EF1"/>
    <w:rsid w:val="004A3F77"/>
    <w:rsid w:val="004B5D81"/>
    <w:rsid w:val="004B72F5"/>
    <w:rsid w:val="004C76F0"/>
    <w:rsid w:val="00504B2B"/>
    <w:rsid w:val="005131A3"/>
    <w:rsid w:val="005329D2"/>
    <w:rsid w:val="00541E54"/>
    <w:rsid w:val="00551F8D"/>
    <w:rsid w:val="00575384"/>
    <w:rsid w:val="0058037A"/>
    <w:rsid w:val="005C0DC1"/>
    <w:rsid w:val="005C6A2C"/>
    <w:rsid w:val="005D0AC9"/>
    <w:rsid w:val="005E58F7"/>
    <w:rsid w:val="006010B4"/>
    <w:rsid w:val="0061641A"/>
    <w:rsid w:val="006409AB"/>
    <w:rsid w:val="0065666D"/>
    <w:rsid w:val="0066171D"/>
    <w:rsid w:val="00693D5C"/>
    <w:rsid w:val="00696B7F"/>
    <w:rsid w:val="00696C1D"/>
    <w:rsid w:val="006972C1"/>
    <w:rsid w:val="006A3EAD"/>
    <w:rsid w:val="006B5585"/>
    <w:rsid w:val="006E7E31"/>
    <w:rsid w:val="006F6045"/>
    <w:rsid w:val="007026B9"/>
    <w:rsid w:val="007056EE"/>
    <w:rsid w:val="00724145"/>
    <w:rsid w:val="00726587"/>
    <w:rsid w:val="00727AD3"/>
    <w:rsid w:val="007340AE"/>
    <w:rsid w:val="0074011B"/>
    <w:rsid w:val="00767821"/>
    <w:rsid w:val="00772510"/>
    <w:rsid w:val="00772957"/>
    <w:rsid w:val="00777279"/>
    <w:rsid w:val="00780F60"/>
    <w:rsid w:val="0078369F"/>
    <w:rsid w:val="00785ABE"/>
    <w:rsid w:val="00790D05"/>
    <w:rsid w:val="00795CC5"/>
    <w:rsid w:val="007A2152"/>
    <w:rsid w:val="007A3C75"/>
    <w:rsid w:val="007A7E9B"/>
    <w:rsid w:val="007B3B99"/>
    <w:rsid w:val="007B4BF0"/>
    <w:rsid w:val="007E6F9E"/>
    <w:rsid w:val="007F4993"/>
    <w:rsid w:val="007F68E3"/>
    <w:rsid w:val="00802E6C"/>
    <w:rsid w:val="008063E4"/>
    <w:rsid w:val="00826217"/>
    <w:rsid w:val="00854AE0"/>
    <w:rsid w:val="00867142"/>
    <w:rsid w:val="008715A9"/>
    <w:rsid w:val="00871654"/>
    <w:rsid w:val="00882DFE"/>
    <w:rsid w:val="00892456"/>
    <w:rsid w:val="008B1BE1"/>
    <w:rsid w:val="008B3903"/>
    <w:rsid w:val="008B49D2"/>
    <w:rsid w:val="008C223E"/>
    <w:rsid w:val="008C7345"/>
    <w:rsid w:val="008D18BA"/>
    <w:rsid w:val="008D1B1F"/>
    <w:rsid w:val="00901E11"/>
    <w:rsid w:val="00911F32"/>
    <w:rsid w:val="00915D21"/>
    <w:rsid w:val="0091711D"/>
    <w:rsid w:val="00920FB9"/>
    <w:rsid w:val="00922552"/>
    <w:rsid w:val="00936B3B"/>
    <w:rsid w:val="009447A4"/>
    <w:rsid w:val="00946781"/>
    <w:rsid w:val="009555B3"/>
    <w:rsid w:val="00955CFD"/>
    <w:rsid w:val="00976F20"/>
    <w:rsid w:val="00981D67"/>
    <w:rsid w:val="00997430"/>
    <w:rsid w:val="009A2088"/>
    <w:rsid w:val="009B06BF"/>
    <w:rsid w:val="009C162E"/>
    <w:rsid w:val="009E663A"/>
    <w:rsid w:val="009E70C3"/>
    <w:rsid w:val="009F73DD"/>
    <w:rsid w:val="00A17F3F"/>
    <w:rsid w:val="00A25076"/>
    <w:rsid w:val="00A33957"/>
    <w:rsid w:val="00A35133"/>
    <w:rsid w:val="00A40CAF"/>
    <w:rsid w:val="00A459C0"/>
    <w:rsid w:val="00A5617D"/>
    <w:rsid w:val="00A614F2"/>
    <w:rsid w:val="00A842A6"/>
    <w:rsid w:val="00A87727"/>
    <w:rsid w:val="00A95E15"/>
    <w:rsid w:val="00A96357"/>
    <w:rsid w:val="00AA3CCC"/>
    <w:rsid w:val="00AA72EB"/>
    <w:rsid w:val="00AB4BE0"/>
    <w:rsid w:val="00AC68D2"/>
    <w:rsid w:val="00AE13F8"/>
    <w:rsid w:val="00AF3434"/>
    <w:rsid w:val="00AF4494"/>
    <w:rsid w:val="00B06BCA"/>
    <w:rsid w:val="00B121DA"/>
    <w:rsid w:val="00B12A79"/>
    <w:rsid w:val="00B40127"/>
    <w:rsid w:val="00B5467C"/>
    <w:rsid w:val="00B54D18"/>
    <w:rsid w:val="00B57616"/>
    <w:rsid w:val="00B94386"/>
    <w:rsid w:val="00B95186"/>
    <w:rsid w:val="00B95910"/>
    <w:rsid w:val="00BB6CD3"/>
    <w:rsid w:val="00BC4B05"/>
    <w:rsid w:val="00BF27EA"/>
    <w:rsid w:val="00C14735"/>
    <w:rsid w:val="00C155E9"/>
    <w:rsid w:val="00C36206"/>
    <w:rsid w:val="00C45080"/>
    <w:rsid w:val="00C616EB"/>
    <w:rsid w:val="00C809A9"/>
    <w:rsid w:val="00C935AF"/>
    <w:rsid w:val="00C97652"/>
    <w:rsid w:val="00CA0565"/>
    <w:rsid w:val="00CA342E"/>
    <w:rsid w:val="00CA5D7F"/>
    <w:rsid w:val="00CB10BC"/>
    <w:rsid w:val="00CB2638"/>
    <w:rsid w:val="00CB4BB4"/>
    <w:rsid w:val="00CC3328"/>
    <w:rsid w:val="00CC3D68"/>
    <w:rsid w:val="00D27446"/>
    <w:rsid w:val="00D278E3"/>
    <w:rsid w:val="00D34F12"/>
    <w:rsid w:val="00D417BF"/>
    <w:rsid w:val="00D546C1"/>
    <w:rsid w:val="00D63C56"/>
    <w:rsid w:val="00D670A1"/>
    <w:rsid w:val="00D838EC"/>
    <w:rsid w:val="00DC3AE0"/>
    <w:rsid w:val="00DC3F8B"/>
    <w:rsid w:val="00DD1912"/>
    <w:rsid w:val="00DD200B"/>
    <w:rsid w:val="00DD78D3"/>
    <w:rsid w:val="00DF17BA"/>
    <w:rsid w:val="00E018D5"/>
    <w:rsid w:val="00E07CFA"/>
    <w:rsid w:val="00E12E29"/>
    <w:rsid w:val="00E159DB"/>
    <w:rsid w:val="00E22AAD"/>
    <w:rsid w:val="00E26AB2"/>
    <w:rsid w:val="00E35A25"/>
    <w:rsid w:val="00EA73B7"/>
    <w:rsid w:val="00EB3014"/>
    <w:rsid w:val="00EB467B"/>
    <w:rsid w:val="00EC2778"/>
    <w:rsid w:val="00EC3F98"/>
    <w:rsid w:val="00EC7A15"/>
    <w:rsid w:val="00ED07F2"/>
    <w:rsid w:val="00EE684D"/>
    <w:rsid w:val="00F0400D"/>
    <w:rsid w:val="00F11647"/>
    <w:rsid w:val="00F13157"/>
    <w:rsid w:val="00F13E44"/>
    <w:rsid w:val="00F27663"/>
    <w:rsid w:val="00F330C5"/>
    <w:rsid w:val="00F34ABA"/>
    <w:rsid w:val="00F35F87"/>
    <w:rsid w:val="00F42B15"/>
    <w:rsid w:val="00F6307C"/>
    <w:rsid w:val="00F6737C"/>
    <w:rsid w:val="00F70FE3"/>
    <w:rsid w:val="00F953D5"/>
    <w:rsid w:val="00F96A01"/>
    <w:rsid w:val="00FB7246"/>
    <w:rsid w:val="00FD0AAC"/>
    <w:rsid w:val="00FD6F0F"/>
    <w:rsid w:val="00FD7F1B"/>
    <w:rsid w:val="00FE28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4A1F"/>
  <w15:docId w15:val="{730A2E67-848D-4238-932B-5A8B165C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7A2152"/>
    <w:pPr>
      <w:keepNext/>
      <w:keepLines/>
      <w:pageBreakBefore/>
      <w:shd w:val="clear" w:color="auto" w:fill="4F81BD" w:themeFill="accent1"/>
      <w:tabs>
        <w:tab w:val="left" w:pos="1500"/>
        <w:tab w:val="left" w:pos="2055"/>
        <w:tab w:val="center" w:pos="5233"/>
      </w:tabs>
      <w:spacing w:after="240"/>
      <w:jc w:val="center"/>
      <w:outlineLvl w:val="0"/>
    </w:pPr>
    <w:rPr>
      <w:rFonts w:ascii="Open Sans" w:eastAsiaTheme="majorEastAsia" w:hAnsi="Open Sans" w:cstheme="majorBidi"/>
      <w:b/>
      <w:bCs/>
      <w:color w:val="FFFFFF" w:themeColor="background1"/>
      <w:sz w:val="28"/>
      <w:szCs w:val="28"/>
    </w:rPr>
  </w:style>
  <w:style w:type="paragraph" w:styleId="berschrift2">
    <w:name w:val="heading 2"/>
    <w:basedOn w:val="Standard"/>
    <w:next w:val="Standard"/>
    <w:link w:val="berschrift2Zchn"/>
    <w:uiPriority w:val="9"/>
    <w:unhideWhenUsed/>
    <w:rsid w:val="001C72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de-DE"/>
    </w:rPr>
  </w:style>
  <w:style w:type="paragraph" w:styleId="berschrift3">
    <w:name w:val="heading 3"/>
    <w:basedOn w:val="Standard"/>
    <w:next w:val="Standard"/>
    <w:link w:val="berschrift3Zchn"/>
    <w:uiPriority w:val="9"/>
    <w:unhideWhenUsed/>
    <w:rsid w:val="001C729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3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3C75"/>
  </w:style>
  <w:style w:type="paragraph" w:styleId="Fuzeile">
    <w:name w:val="footer"/>
    <w:basedOn w:val="Standard"/>
    <w:next w:val="Funotentext"/>
    <w:link w:val="FuzeileZchn"/>
    <w:autoRedefine/>
    <w:uiPriority w:val="99"/>
    <w:unhideWhenUsed/>
    <w:rsid w:val="00EC2778"/>
    <w:pPr>
      <w:tabs>
        <w:tab w:val="center" w:pos="4536"/>
        <w:tab w:val="right" w:pos="9072"/>
      </w:tabs>
      <w:spacing w:after="0" w:line="240" w:lineRule="auto"/>
      <w:jc w:val="center"/>
    </w:pPr>
    <w:rPr>
      <w:rFonts w:ascii="Open Sans SemiBold" w:hAnsi="Open Sans SemiBold" w:cs="Open Sans SemiBold"/>
      <w:b/>
      <w:bCs/>
      <w:noProof/>
      <w:color w:val="003399"/>
    </w:rPr>
  </w:style>
  <w:style w:type="character" w:customStyle="1" w:styleId="FuzeileZchn">
    <w:name w:val="Fußzeile Zchn"/>
    <w:basedOn w:val="Absatz-Standardschriftart"/>
    <w:link w:val="Fuzeile"/>
    <w:uiPriority w:val="99"/>
    <w:rsid w:val="00EC2778"/>
    <w:rPr>
      <w:rFonts w:ascii="Open Sans SemiBold" w:hAnsi="Open Sans SemiBold" w:cs="Open Sans SemiBold"/>
      <w:b/>
      <w:bCs/>
      <w:noProof/>
      <w:color w:val="003399"/>
    </w:rPr>
  </w:style>
  <w:style w:type="paragraph" w:customStyle="1" w:styleId="3CBD5A742C28424DA5172AD252E32316">
    <w:name w:val="3CBD5A742C28424DA5172AD252E32316"/>
    <w:rsid w:val="006E7E31"/>
    <w:rPr>
      <w:rFonts w:eastAsiaTheme="minorEastAsia"/>
      <w:lang w:eastAsia="de-DE"/>
    </w:rPr>
  </w:style>
  <w:style w:type="paragraph" w:styleId="Funotentext">
    <w:name w:val="footnote text"/>
    <w:basedOn w:val="Standard"/>
    <w:link w:val="FunotentextZchn"/>
    <w:uiPriority w:val="99"/>
    <w:semiHidden/>
    <w:unhideWhenUsed/>
    <w:rsid w:val="007A3C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3C75"/>
    <w:rPr>
      <w:sz w:val="20"/>
      <w:szCs w:val="20"/>
    </w:rPr>
  </w:style>
  <w:style w:type="paragraph" w:styleId="Sprechblasentext">
    <w:name w:val="Balloon Text"/>
    <w:basedOn w:val="Standard"/>
    <w:link w:val="SprechblasentextZchn"/>
    <w:uiPriority w:val="99"/>
    <w:semiHidden/>
    <w:unhideWhenUsed/>
    <w:rsid w:val="006E7E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E31"/>
    <w:rPr>
      <w:rFonts w:ascii="Tahoma" w:hAnsi="Tahoma" w:cs="Tahoma"/>
      <w:sz w:val="16"/>
      <w:szCs w:val="16"/>
    </w:rPr>
  </w:style>
  <w:style w:type="character" w:customStyle="1" w:styleId="berschrift2Zchn">
    <w:name w:val="Überschrift 2 Zchn"/>
    <w:basedOn w:val="Absatz-Standardschriftart"/>
    <w:link w:val="berschrift2"/>
    <w:uiPriority w:val="9"/>
    <w:rsid w:val="001C729E"/>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rsid w:val="001C729E"/>
    <w:rPr>
      <w:rFonts w:asciiTheme="majorHAnsi" w:eastAsiaTheme="majorEastAsia" w:hAnsiTheme="majorHAnsi" w:cstheme="majorBidi"/>
      <w:b/>
      <w:bCs/>
      <w:color w:val="4F81BD" w:themeColor="accent1"/>
      <w:sz w:val="24"/>
      <w:szCs w:val="24"/>
      <w:lang w:eastAsia="de-DE"/>
    </w:rPr>
  </w:style>
  <w:style w:type="paragraph" w:customStyle="1" w:styleId="BAText">
    <w:name w:val="BA Text"/>
    <w:basedOn w:val="Standard"/>
    <w:link w:val="BATextZchn6"/>
    <w:autoRedefine/>
    <w:qFormat/>
    <w:rsid w:val="003E4A9B"/>
    <w:pPr>
      <w:tabs>
        <w:tab w:val="center" w:pos="5233"/>
        <w:tab w:val="left" w:pos="6915"/>
      </w:tabs>
      <w:overflowPunct w:val="0"/>
      <w:autoSpaceDE w:val="0"/>
      <w:autoSpaceDN w:val="0"/>
      <w:adjustRightInd w:val="0"/>
      <w:spacing w:after="40" w:line="240" w:lineRule="auto"/>
      <w:jc w:val="both"/>
      <w:textAlignment w:val="baseline"/>
    </w:pPr>
    <w:rPr>
      <w:rFonts w:ascii="Open Sans" w:eastAsia="Times New Roman" w:hAnsi="Open Sans" w:cs="Times New Roman"/>
      <w:color w:val="262626" w:themeColor="text1" w:themeTint="D9"/>
      <w:sz w:val="21"/>
      <w:szCs w:val="24"/>
      <w:lang w:eastAsia="de-DE"/>
    </w:rPr>
  </w:style>
  <w:style w:type="character" w:customStyle="1" w:styleId="BATextZchn6">
    <w:name w:val="BA Text Zchn6"/>
    <w:link w:val="BAText"/>
    <w:rsid w:val="003E4A9B"/>
    <w:rPr>
      <w:rFonts w:ascii="Open Sans" w:eastAsia="Times New Roman" w:hAnsi="Open Sans" w:cs="Times New Roman"/>
      <w:color w:val="262626" w:themeColor="text1" w:themeTint="D9"/>
      <w:sz w:val="21"/>
      <w:szCs w:val="24"/>
      <w:lang w:eastAsia="de-DE"/>
    </w:rPr>
  </w:style>
  <w:style w:type="table" w:styleId="Tabellenraster">
    <w:name w:val="Table Grid"/>
    <w:basedOn w:val="NormaleTabelle"/>
    <w:uiPriority w:val="39"/>
    <w:rsid w:val="001C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1C729E"/>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aliases w:val=" Char1,Char1"/>
    <w:uiPriority w:val="99"/>
    <w:rsid w:val="001C729E"/>
    <w:rPr>
      <w:color w:val="0000FF"/>
      <w:u w:val="single"/>
    </w:rPr>
  </w:style>
  <w:style w:type="character" w:customStyle="1" w:styleId="berschrift1Zchn">
    <w:name w:val="Überschrift 1 Zchn"/>
    <w:basedOn w:val="Absatz-Standardschriftart"/>
    <w:link w:val="berschrift1"/>
    <w:uiPriority w:val="9"/>
    <w:rsid w:val="007A2152"/>
    <w:rPr>
      <w:rFonts w:ascii="Open Sans" w:eastAsiaTheme="majorEastAsia" w:hAnsi="Open Sans" w:cstheme="majorBidi"/>
      <w:b/>
      <w:bCs/>
      <w:color w:val="FFFFFF" w:themeColor="background1"/>
      <w:sz w:val="28"/>
      <w:szCs w:val="28"/>
      <w:shd w:val="clear" w:color="auto" w:fill="4F81BD" w:themeFill="accent1"/>
    </w:rPr>
  </w:style>
  <w:style w:type="paragraph" w:styleId="KeinLeerraum">
    <w:name w:val="No Spacing"/>
    <w:link w:val="KeinLeerraumZchn"/>
    <w:uiPriority w:val="1"/>
    <w:rsid w:val="00CB10BC"/>
    <w:pPr>
      <w:spacing w:after="0" w:line="240" w:lineRule="auto"/>
    </w:pPr>
  </w:style>
  <w:style w:type="character" w:styleId="BesuchterLink">
    <w:name w:val="FollowedHyperlink"/>
    <w:basedOn w:val="Absatz-Standardschriftart"/>
    <w:uiPriority w:val="99"/>
    <w:semiHidden/>
    <w:unhideWhenUsed/>
    <w:rsid w:val="003722D9"/>
    <w:rPr>
      <w:color w:val="800080" w:themeColor="followedHyperlink"/>
      <w:u w:val="single"/>
    </w:rPr>
  </w:style>
  <w:style w:type="paragraph" w:customStyle="1" w:styleId="BATitel">
    <w:name w:val="BA Titel"/>
    <w:basedOn w:val="KeinLeerraum"/>
    <w:autoRedefine/>
    <w:qFormat/>
    <w:rsid w:val="00693D5C"/>
    <w:pPr>
      <w:spacing w:before="240" w:after="120"/>
      <w:jc w:val="center"/>
    </w:pPr>
    <w:rPr>
      <w:rFonts w:ascii="Open Sans" w:hAnsi="Open Sans"/>
      <w:b/>
      <w:color w:val="262626" w:themeColor="text1" w:themeTint="D9"/>
      <w:sz w:val="24"/>
      <w:szCs w:val="24"/>
      <w:lang w:eastAsia="de-DE"/>
    </w:rPr>
  </w:style>
  <w:style w:type="paragraph" w:customStyle="1" w:styleId="BALead">
    <w:name w:val="BA Lead"/>
    <w:basedOn w:val="BAText"/>
    <w:link w:val="BALeadZchn2"/>
    <w:qFormat/>
    <w:rsid w:val="007F4993"/>
    <w:pPr>
      <w:spacing w:before="120" w:after="120"/>
    </w:pPr>
    <w:rPr>
      <w:b/>
    </w:rPr>
  </w:style>
  <w:style w:type="paragraph" w:customStyle="1" w:styleId="BAZwischenberschrift">
    <w:name w:val="BA Zwischenüberschrift"/>
    <w:basedOn w:val="BALead"/>
    <w:link w:val="BAZwischenberschriftZchn"/>
    <w:qFormat/>
    <w:rsid w:val="00785ABE"/>
    <w:pPr>
      <w:spacing w:after="40"/>
    </w:pPr>
  </w:style>
  <w:style w:type="paragraph" w:styleId="Verzeichnis1">
    <w:name w:val="toc 1"/>
    <w:basedOn w:val="Standard"/>
    <w:next w:val="Standard"/>
    <w:autoRedefine/>
    <w:uiPriority w:val="39"/>
    <w:unhideWhenUsed/>
    <w:rsid w:val="00724145"/>
    <w:pPr>
      <w:shd w:val="clear" w:color="auto" w:fill="003399"/>
      <w:tabs>
        <w:tab w:val="left" w:pos="1365"/>
        <w:tab w:val="center" w:pos="5233"/>
        <w:tab w:val="right" w:leader="dot" w:pos="10456"/>
      </w:tabs>
      <w:spacing w:after="100" w:line="240" w:lineRule="auto"/>
      <w:jc w:val="center"/>
    </w:pPr>
    <w:rPr>
      <w:rFonts w:ascii="Open Sans" w:eastAsia="Calibri" w:hAnsi="Open Sans" w:cs="Open Sans"/>
      <w:b/>
      <w:bCs/>
      <w:color w:val="FFFFFF" w:themeColor="background1"/>
      <w:sz w:val="28"/>
      <w:szCs w:val="24"/>
    </w:rPr>
  </w:style>
  <w:style w:type="paragraph" w:styleId="Verzeichnis2">
    <w:name w:val="toc 2"/>
    <w:basedOn w:val="Aufzhlungszeichen"/>
    <w:next w:val="Standard"/>
    <w:autoRedefine/>
    <w:uiPriority w:val="39"/>
    <w:unhideWhenUsed/>
    <w:rsid w:val="003D6748"/>
    <w:pPr>
      <w:tabs>
        <w:tab w:val="left" w:pos="9923"/>
      </w:tabs>
      <w:spacing w:after="100"/>
    </w:pPr>
    <w:rPr>
      <w:rFonts w:ascii="Open Sans" w:eastAsia="Calibri" w:hAnsi="Open Sans" w:cs="Open Sans"/>
      <w:sz w:val="21"/>
      <w:szCs w:val="24"/>
    </w:rPr>
  </w:style>
  <w:style w:type="paragraph" w:styleId="Aufzhlungszeichen">
    <w:name w:val="List Bullet"/>
    <w:basedOn w:val="Standard"/>
    <w:uiPriority w:val="99"/>
    <w:unhideWhenUsed/>
    <w:rsid w:val="00336752"/>
    <w:pPr>
      <w:numPr>
        <w:numId w:val="4"/>
      </w:numPr>
      <w:contextualSpacing/>
    </w:pPr>
  </w:style>
  <w:style w:type="paragraph" w:customStyle="1" w:styleId="BADieWoche">
    <w:name w:val="BA Die Woche"/>
    <w:basedOn w:val="berschrift1"/>
    <w:autoRedefine/>
    <w:qFormat/>
    <w:rsid w:val="00277867"/>
    <w:pPr>
      <w:shd w:val="clear" w:color="auto" w:fill="003399"/>
      <w:outlineLvl w:val="9"/>
    </w:pPr>
  </w:style>
  <w:style w:type="paragraph" w:customStyle="1" w:styleId="BAKategorieSeite2">
    <w:name w:val="BA Kategorie Seite 2"/>
    <w:basedOn w:val="Standard"/>
    <w:autoRedefine/>
    <w:qFormat/>
    <w:rsid w:val="0074011B"/>
    <w:pPr>
      <w:pBdr>
        <w:top w:val="single" w:sz="4" w:space="1" w:color="015999"/>
        <w:bottom w:val="single" w:sz="4" w:space="1" w:color="015999"/>
      </w:pBdr>
      <w:spacing w:after="240" w:line="240" w:lineRule="auto"/>
      <w:jc w:val="right"/>
    </w:pPr>
    <w:rPr>
      <w:rFonts w:ascii="Open Sans" w:hAnsi="Open Sans"/>
      <w:b/>
      <w:color w:val="003399"/>
      <w:sz w:val="28"/>
      <w:szCs w:val="12"/>
      <w:lang w:eastAsia="de-DE"/>
    </w:rPr>
  </w:style>
  <w:style w:type="paragraph" w:customStyle="1" w:styleId="BABullets">
    <w:name w:val="BA Bullets"/>
    <w:basedOn w:val="BAText"/>
    <w:qFormat/>
    <w:rsid w:val="00915D21"/>
    <w:pPr>
      <w:numPr>
        <w:numId w:val="3"/>
      </w:numPr>
      <w:spacing w:before="60" w:after="60"/>
      <w:ind w:left="426" w:right="118" w:hanging="284"/>
    </w:pPr>
  </w:style>
  <w:style w:type="character" w:customStyle="1" w:styleId="BAZwischenberschriftZchn">
    <w:name w:val="BA Zwischenüberschrift Zchn"/>
    <w:link w:val="BAZwischenberschrift"/>
    <w:rsid w:val="00785ABE"/>
    <w:rPr>
      <w:rFonts w:ascii="Open Sans" w:eastAsia="Times New Roman" w:hAnsi="Open Sans" w:cs="Times New Roman"/>
      <w:b/>
      <w:color w:val="262626" w:themeColor="text1" w:themeTint="D9"/>
      <w:szCs w:val="24"/>
      <w:lang w:eastAsia="de-DE"/>
    </w:rPr>
  </w:style>
  <w:style w:type="character" w:customStyle="1" w:styleId="BALeadZchn2">
    <w:name w:val="BA Lead Zchn2"/>
    <w:link w:val="BALead"/>
    <w:rsid w:val="007F4993"/>
    <w:rPr>
      <w:rFonts w:ascii="Open Sans" w:eastAsia="Times New Roman" w:hAnsi="Open Sans" w:cs="Times New Roman"/>
      <w:b/>
      <w:color w:val="262626" w:themeColor="text1" w:themeTint="D9"/>
      <w:sz w:val="21"/>
      <w:szCs w:val="24"/>
      <w:lang w:eastAsia="de-DE"/>
    </w:rPr>
  </w:style>
  <w:style w:type="character" w:styleId="Seitenzahl">
    <w:name w:val="page number"/>
    <w:basedOn w:val="Absatz-Standardschriftart"/>
    <w:uiPriority w:val="99"/>
    <w:semiHidden/>
    <w:unhideWhenUsed/>
    <w:rsid w:val="0066171D"/>
  </w:style>
  <w:style w:type="character" w:styleId="NichtaufgelsteErwhnung">
    <w:name w:val="Unresolved Mention"/>
    <w:basedOn w:val="Absatz-Standardschriftart"/>
    <w:uiPriority w:val="99"/>
    <w:semiHidden/>
    <w:unhideWhenUsed/>
    <w:rsid w:val="00AC68D2"/>
    <w:rPr>
      <w:color w:val="605E5C"/>
      <w:shd w:val="clear" w:color="auto" w:fill="E1DFDD"/>
    </w:rPr>
  </w:style>
  <w:style w:type="paragraph" w:styleId="Inhaltsverzeichnisberschrift">
    <w:name w:val="TOC Heading"/>
    <w:basedOn w:val="berschrift1"/>
    <w:next w:val="Standard"/>
    <w:uiPriority w:val="39"/>
    <w:unhideWhenUsed/>
    <w:rsid w:val="00221952"/>
    <w:pPr>
      <w:shd w:val="clear" w:color="auto" w:fill="auto"/>
      <w:spacing w:before="240" w:after="0" w:line="259" w:lineRule="auto"/>
      <w:jc w:val="left"/>
      <w:outlineLvl w:val="9"/>
    </w:pPr>
    <w:rPr>
      <w:rFonts w:asciiTheme="majorHAnsi" w:hAnsiTheme="majorHAnsi"/>
      <w:b w:val="0"/>
      <w:bCs w:val="0"/>
      <w:color w:val="365F91" w:themeColor="accent1" w:themeShade="BF"/>
      <w:sz w:val="32"/>
      <w:szCs w:val="32"/>
      <w:lang w:eastAsia="de-DE"/>
    </w:rPr>
  </w:style>
  <w:style w:type="paragraph" w:styleId="Verzeichnis3">
    <w:name w:val="toc 3"/>
    <w:basedOn w:val="Standard"/>
    <w:next w:val="Standard"/>
    <w:autoRedefine/>
    <w:uiPriority w:val="39"/>
    <w:unhideWhenUsed/>
    <w:rsid w:val="00221952"/>
    <w:pPr>
      <w:spacing w:after="100" w:line="259" w:lineRule="auto"/>
      <w:ind w:left="440"/>
    </w:pPr>
    <w:rPr>
      <w:rFonts w:eastAsiaTheme="minorEastAsia" w:cs="Times New Roman"/>
      <w:lang w:eastAsia="de-DE"/>
    </w:rPr>
  </w:style>
  <w:style w:type="character" w:customStyle="1" w:styleId="KeinLeerraumZchn">
    <w:name w:val="Kein Leerraum Zchn"/>
    <w:basedOn w:val="Absatz-Standardschriftart"/>
    <w:link w:val="KeinLeerraum"/>
    <w:uiPriority w:val="1"/>
    <w:rsid w:val="0008742F"/>
  </w:style>
  <w:style w:type="paragraph" w:customStyle="1" w:styleId="BAFuzeile">
    <w:name w:val="BA Fußzeile"/>
    <w:basedOn w:val="Fuzeile"/>
    <w:link w:val="BAFuzeileZchn"/>
    <w:autoRedefine/>
    <w:qFormat/>
    <w:rsid w:val="0074011B"/>
  </w:style>
  <w:style w:type="paragraph" w:customStyle="1" w:styleId="BAKategorie">
    <w:name w:val="BA Kategorie"/>
    <w:basedOn w:val="berschrift1"/>
    <w:link w:val="BAKategorieZchn"/>
    <w:autoRedefine/>
    <w:qFormat/>
    <w:rsid w:val="00D27446"/>
    <w:pPr>
      <w:pageBreakBefore w:val="0"/>
      <w:shd w:val="clear" w:color="auto" w:fill="003399"/>
    </w:pPr>
  </w:style>
  <w:style w:type="character" w:customStyle="1" w:styleId="BAFuzeileZchn">
    <w:name w:val="BA Fußzeile Zchn"/>
    <w:basedOn w:val="FuzeileZchn"/>
    <w:link w:val="BAFuzeile"/>
    <w:rsid w:val="0074011B"/>
    <w:rPr>
      <w:rFonts w:ascii="Open Sans SemiBold" w:hAnsi="Open Sans SemiBold" w:cs="Open Sans SemiBold"/>
      <w:b/>
      <w:bCs/>
      <w:noProof/>
      <w:color w:val="003399"/>
    </w:rPr>
  </w:style>
  <w:style w:type="character" w:customStyle="1" w:styleId="BAKategorieZchn">
    <w:name w:val="BA Kategorie Zchn"/>
    <w:basedOn w:val="berschrift1Zchn"/>
    <w:link w:val="BAKategorie"/>
    <w:rsid w:val="00D27446"/>
    <w:rPr>
      <w:rFonts w:ascii="Open Sans" w:eastAsiaTheme="majorEastAsia" w:hAnsi="Open Sans" w:cstheme="majorBidi"/>
      <w:b/>
      <w:bCs/>
      <w:color w:val="FFFFFF" w:themeColor="background1"/>
      <w:sz w:val="28"/>
      <w:szCs w:val="28"/>
      <w:shd w:val="clear" w:color="auto" w:fill="003399"/>
    </w:rPr>
  </w:style>
  <w:style w:type="paragraph" w:customStyle="1" w:styleId="paragraph">
    <w:name w:val="paragraph"/>
    <w:basedOn w:val="Standard"/>
    <w:rsid w:val="00ED07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ED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3698">
      <w:bodyDiv w:val="1"/>
      <w:marLeft w:val="0"/>
      <w:marRight w:val="0"/>
      <w:marTop w:val="0"/>
      <w:marBottom w:val="0"/>
      <w:divBdr>
        <w:top w:val="none" w:sz="0" w:space="0" w:color="auto"/>
        <w:left w:val="none" w:sz="0" w:space="0" w:color="auto"/>
        <w:bottom w:val="none" w:sz="0" w:space="0" w:color="auto"/>
        <w:right w:val="none" w:sz="0" w:space="0" w:color="auto"/>
      </w:divBdr>
    </w:div>
    <w:div w:id="516045645">
      <w:bodyDiv w:val="1"/>
      <w:marLeft w:val="0"/>
      <w:marRight w:val="0"/>
      <w:marTop w:val="0"/>
      <w:marBottom w:val="0"/>
      <w:divBdr>
        <w:top w:val="none" w:sz="0" w:space="0" w:color="auto"/>
        <w:left w:val="none" w:sz="0" w:space="0" w:color="auto"/>
        <w:bottom w:val="none" w:sz="0" w:space="0" w:color="auto"/>
        <w:right w:val="none" w:sz="0" w:space="0" w:color="auto"/>
      </w:divBdr>
    </w:div>
    <w:div w:id="550965154">
      <w:bodyDiv w:val="1"/>
      <w:marLeft w:val="0"/>
      <w:marRight w:val="0"/>
      <w:marTop w:val="0"/>
      <w:marBottom w:val="0"/>
      <w:divBdr>
        <w:top w:val="none" w:sz="0" w:space="0" w:color="auto"/>
        <w:left w:val="none" w:sz="0" w:space="0" w:color="auto"/>
        <w:bottom w:val="none" w:sz="0" w:space="0" w:color="auto"/>
        <w:right w:val="none" w:sz="0" w:space="0" w:color="auto"/>
      </w:divBdr>
    </w:div>
    <w:div w:id="978149265">
      <w:bodyDiv w:val="1"/>
      <w:marLeft w:val="0"/>
      <w:marRight w:val="0"/>
      <w:marTop w:val="0"/>
      <w:marBottom w:val="0"/>
      <w:divBdr>
        <w:top w:val="none" w:sz="0" w:space="0" w:color="auto"/>
        <w:left w:val="none" w:sz="0" w:space="0" w:color="auto"/>
        <w:bottom w:val="none" w:sz="0" w:space="0" w:color="auto"/>
        <w:right w:val="none" w:sz="0" w:space="0" w:color="auto"/>
      </w:divBdr>
    </w:div>
    <w:div w:id="1054161742">
      <w:bodyDiv w:val="1"/>
      <w:marLeft w:val="0"/>
      <w:marRight w:val="0"/>
      <w:marTop w:val="0"/>
      <w:marBottom w:val="0"/>
      <w:divBdr>
        <w:top w:val="none" w:sz="0" w:space="0" w:color="auto"/>
        <w:left w:val="none" w:sz="0" w:space="0" w:color="auto"/>
        <w:bottom w:val="none" w:sz="0" w:space="0" w:color="auto"/>
        <w:right w:val="none" w:sz="0" w:space="0" w:color="auto"/>
      </w:divBdr>
    </w:div>
    <w:div w:id="1499344270">
      <w:bodyDiv w:val="1"/>
      <w:marLeft w:val="0"/>
      <w:marRight w:val="0"/>
      <w:marTop w:val="0"/>
      <w:marBottom w:val="0"/>
      <w:divBdr>
        <w:top w:val="none" w:sz="0" w:space="0" w:color="auto"/>
        <w:left w:val="none" w:sz="0" w:space="0" w:color="auto"/>
        <w:bottom w:val="none" w:sz="0" w:space="0" w:color="auto"/>
        <w:right w:val="none" w:sz="0" w:space="0" w:color="auto"/>
      </w:divBdr>
    </w:div>
    <w:div w:id="1672296731">
      <w:bodyDiv w:val="1"/>
      <w:marLeft w:val="0"/>
      <w:marRight w:val="0"/>
      <w:marTop w:val="0"/>
      <w:marBottom w:val="0"/>
      <w:divBdr>
        <w:top w:val="none" w:sz="0" w:space="0" w:color="auto"/>
        <w:left w:val="none" w:sz="0" w:space="0" w:color="auto"/>
        <w:bottom w:val="none" w:sz="0" w:space="0" w:color="auto"/>
        <w:right w:val="none" w:sz="0" w:space="0" w:color="auto"/>
      </w:divBdr>
    </w:div>
    <w:div w:id="1736463680">
      <w:bodyDiv w:val="1"/>
      <w:marLeft w:val="0"/>
      <w:marRight w:val="0"/>
      <w:marTop w:val="0"/>
      <w:marBottom w:val="0"/>
      <w:divBdr>
        <w:top w:val="none" w:sz="0" w:space="0" w:color="auto"/>
        <w:left w:val="none" w:sz="0" w:space="0" w:color="auto"/>
        <w:bottom w:val="none" w:sz="0" w:space="0" w:color="auto"/>
        <w:right w:val="none" w:sz="0" w:space="0" w:color="auto"/>
      </w:divBdr>
    </w:div>
    <w:div w:id="17752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commission.europa.eu/business-economy-euro/economic-recovery/recovery-and-resilience-facility/germanys-recovery-and-resilience-plan_de" TargetMode="External"/><Relationship Id="rId26" Type="http://schemas.openxmlformats.org/officeDocument/2006/relationships/hyperlink" Target="https://op.europa.eu/en/publication-detail/-/publication/b175c9cb-cc5b-11ed-a05c-01aa75ed71a1/language-en" TargetMode="External"/><Relationship Id="rId39" Type="http://schemas.openxmlformats.org/officeDocument/2006/relationships/hyperlink" Target="https://urbact.eu/whats-new/news/approved-networks-2023?utm_source=brevo&amp;utm_campaign=Newsletter%20June%202023&amp;utm_medium=email" TargetMode="External"/><Relationship Id="rId21" Type="http://schemas.openxmlformats.org/officeDocument/2006/relationships/hyperlink" Target="https://commission.europa.eu/business-economy-euro/economic-recovery/recovery-and-resilience-facility_de" TargetMode="External"/><Relationship Id="rId34" Type="http://schemas.openxmlformats.org/officeDocument/2006/relationships/hyperlink" Target="https://twitter.com/cesarluena/status/1663986275479609344" TargetMode="External"/><Relationship Id="rId42" Type="http://schemas.openxmlformats.org/officeDocument/2006/relationships/hyperlink" Target="https://osha.europa.eu/de" TargetMode="External"/><Relationship Id="rId47" Type="http://schemas.openxmlformats.org/officeDocument/2006/relationships/hyperlink" Target="https://eur-lex.europa.eu/legal-content/DE/TXT/HTML/?uri=CELEX:52021PC0753" TargetMode="External"/><Relationship Id="rId50" Type="http://schemas.openxmlformats.org/officeDocument/2006/relationships/hyperlink" Target="https://civil-protection-humanitarian-aid.ec.europa.eu/what/civil-protection/peer-review-programme_en"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ission.europa.eu/publications/2023-european-semester-country-specific-recommendations-commission-recommendations_en" TargetMode="External"/><Relationship Id="rId29" Type="http://schemas.openxmlformats.org/officeDocument/2006/relationships/hyperlink" Target="https://eur-lex.europa.eu/legal-content/DE/TXT/?qid=1590574123338&amp;uri=CELEX:52020DC0380" TargetMode="External"/><Relationship Id="rId11" Type="http://schemas.openxmlformats.org/officeDocument/2006/relationships/image" Target="media/image1.png"/><Relationship Id="rId24" Type="http://schemas.openxmlformats.org/officeDocument/2006/relationships/hyperlink" Target="https://www.usinenouvelle.com/editorial/pourquoi-la-france-bloque-la-validation-finale-de-la-directive-europeenne-sur-les-energies-renouvelables.N2134432" TargetMode="External"/><Relationship Id="rId32" Type="http://schemas.openxmlformats.org/officeDocument/2006/relationships/hyperlink" Target="https://www.europarl.europa.eu/committees/de/envi/home/highlights" TargetMode="External"/><Relationship Id="rId37" Type="http://schemas.openxmlformats.org/officeDocument/2006/relationships/hyperlink" Target="https://eur-lex.europa.eu/legal-content/DE/TXT/HTML/?uri=CELEX:31991L0676" TargetMode="External"/><Relationship Id="rId40" Type="http://schemas.openxmlformats.org/officeDocument/2006/relationships/hyperlink" Target="https://health.ec.europa.eu/document/download/cef45b6d-a871-44d5-9d62-3cecc47eda89_de?filename=com_2023_298_1_act_de.pdf" TargetMode="External"/><Relationship Id="rId45" Type="http://schemas.openxmlformats.org/officeDocument/2006/relationships/hyperlink" Target="https://www.bgbl.de/xaver/bgbl/start.xav?start=%2F%2F*%5B%40attr_id%3D%27bgbl207s0341.pdf%27%5D"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uroparl.europa.eu/doceo/document/TA-9-2023-0210_DE.html" TargetMode="External"/><Relationship Id="rId31" Type="http://schemas.openxmlformats.org/officeDocument/2006/relationships/hyperlink" Target="https://www.europarl.europa.eu/cmsdata/270667/Results%20of%20roll%20call%20vote%2024%20May%202023.pdf" TargetMode="External"/><Relationship Id="rId44" Type="http://schemas.openxmlformats.org/officeDocument/2006/relationships/hyperlink" Target="https://eur-lex.europa.eu/legal-content/EN/TXT/?uri=CELEX%3A52023PC0281&amp;qid=1686229257506" TargetMode="External"/><Relationship Id="rId52" Type="http://schemas.openxmlformats.org/officeDocument/2006/relationships/hyperlink" Target="https://www.urban-initiative.eu/calls-proposals/second-call-proposals-innovative-a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ssion.europa.eu/publications/2023-european-semester-spring-package_de" TargetMode="External"/><Relationship Id="rId22" Type="http://schemas.openxmlformats.org/officeDocument/2006/relationships/hyperlink" Target="https://commission.europa.eu/business-economy-euro/economic-recovery/recovery-and-resilience-facility/country-pages_de" TargetMode="External"/><Relationship Id="rId27" Type="http://schemas.openxmlformats.org/officeDocument/2006/relationships/hyperlink" Target="https://eur-lex.europa.eu/resource.html?uri=cellar:f5586441-f5e1-11ec-b976-01aa75ed71a1.0008.02/DOC_1&amp;format=PDF" TargetMode="External"/><Relationship Id="rId30" Type="http://schemas.openxmlformats.org/officeDocument/2006/relationships/hyperlink" Target="https://www.europarl.europa.eu/cmsdata/270572/RCV%20Final%20vote_Nature%20restoration_with%20title.pdf" TargetMode="External"/><Relationship Id="rId35" Type="http://schemas.openxmlformats.org/officeDocument/2006/relationships/hyperlink" Target="https://www.europabuero-bw.de/wp-content/uploads/2023/01/2023-01-27-Positionspapier-BG-Verordnungsvorschlag-zur-Wiederherstellung-der-Natur-FIN-1.pdf" TargetMode="External"/><Relationship Id="rId43" Type="http://schemas.openxmlformats.org/officeDocument/2006/relationships/hyperlink" Target="https://eur-lex.europa.eu/legal-content/DE/TXT/?qid=1686229257506&amp;uri=CELEX%3A52023PC0280" TargetMode="External"/><Relationship Id="rId48" Type="http://schemas.openxmlformats.org/officeDocument/2006/relationships/hyperlink" Target="https://home-affairs.ec.europa.eu/system/files/2023-06/EU%20Action%20Plan%20for%20the%20Western%20Mediterranean%20and%20Atlantic%20routes.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urban-initiative.eu/"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commission.europa.eu/strategy-and-policy/priorities-2019-2024/european-green-deal/repowereu-affordable-secure-and-sustainable-energy-europe_en" TargetMode="External"/><Relationship Id="rId25" Type="http://schemas.openxmlformats.org/officeDocument/2006/relationships/hyperlink" Target="https://op.europa.eu/en/publication-detail/-/publication/7cca7ab9-cc5e-11ed-a05c-01aa75ed71a1/language-en" TargetMode="External"/><Relationship Id="rId33" Type="http://schemas.openxmlformats.org/officeDocument/2006/relationships/hyperlink" Target="https://www.eppgroup.eu/newsroom/news/epp-group-withdraws-from-negotiations-on-nature-restoration" TargetMode="External"/><Relationship Id="rId38" Type="http://schemas.openxmlformats.org/officeDocument/2006/relationships/hyperlink" Target="https://curia.europa.eu/juris/document/document.jsf;jsessionid=6A3B016D139143ED806B062F6CD75DA5?text=&amp;docid=204843&amp;pageIndex=0&amp;doclang=DE&amp;mode=req&amp;dir=&amp;occ=first&amp;part=1&amp;cid=2669925" TargetMode="External"/><Relationship Id="rId46" Type="http://schemas.openxmlformats.org/officeDocument/2006/relationships/hyperlink" Target="https://home-affairs.ec.europa.eu/system/files/2023-06/Toolbox%20addressing%20the%20use%20of%20commercial%20means%20of%20transport%20to%20facilitate%20irregular%20migration%20to%20the%20EU.pdf" TargetMode="External"/><Relationship Id="rId20" Type="http://schemas.openxmlformats.org/officeDocument/2006/relationships/hyperlink" Target="https://eur-lex.europa.eu/legal-content/DE/TXT/?qid=1686061437865&amp;uri=CELEX%3A52022PC0134" TargetMode="External"/><Relationship Id="rId41" Type="http://schemas.openxmlformats.org/officeDocument/2006/relationships/hyperlink" Target="https://health.ec.europa.eu/non-communicable-diseases/mental-health_de"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onomy-finance.ec.europa.eu/publications/2023-european-semester-country-reports_en" TargetMode="External"/><Relationship Id="rId23" Type="http://schemas.openxmlformats.org/officeDocument/2006/relationships/hyperlink" Target="https://eur-lex.europa.eu/legal-content/DE/TXT/HTML/?uri=CELEX:52021PC0557" TargetMode="External"/><Relationship Id="rId28" Type="http://schemas.openxmlformats.org/officeDocument/2006/relationships/hyperlink" Target="https://eur-lex.europa.eu/resource.html?uri=cellar:f5586441-f5e1-11ec-b976-01aa75ed71a1.0008.02/DOC_2&amp;format=PDF" TargetMode="External"/><Relationship Id="rId36" Type="http://schemas.openxmlformats.org/officeDocument/2006/relationships/hyperlink" Target="https://germany.representation.ec.europa.eu/news/nitratrichtlinie-kommission-schliesst-verfahren-gegen-deutschland-2023-06-01_de" TargetMode="External"/><Relationship Id="rId49" Type="http://schemas.openxmlformats.org/officeDocument/2006/relationships/hyperlink" Target="https://ec.europa.eu/commission/presscorner/detail/de/ip_23_29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Br&#252;ssel%20Aktuell\Allgemeines%20und%20Vorlagen\Gesamt%202023\Br&#252;ssel%20Aktuell%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31308DAB7BD4099B03BADD4293CE4" ma:contentTypeVersion="6" ma:contentTypeDescription="Create a new document." ma:contentTypeScope="" ma:versionID="e253b639e973f62d785e15fc90181460">
  <xsd:schema xmlns:xsd="http://www.w3.org/2001/XMLSchema" xmlns:xs="http://www.w3.org/2001/XMLSchema" xmlns:p="http://schemas.microsoft.com/office/2006/metadata/properties" xmlns:ns2="48b39775-a05f-4a35-bb54-0ebe1e65b564" targetNamespace="http://schemas.microsoft.com/office/2006/metadata/properties" ma:root="true" ma:fieldsID="34cd2f38babcbbaf738f8231d3831fd9" ns2:_="">
    <xsd:import namespace="48b39775-a05f-4a35-bb54-0ebe1e65b5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39775-a05f-4a35-bb54-0ebe1e65b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E3291-D7DC-40D5-B74F-E6B7BD41A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39775-a05f-4a35-bb54-0ebe1e65b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A13F2-B41C-451A-BA9B-230B6376A0A4}">
  <ds:schemaRefs>
    <ds:schemaRef ds:uri="http://schemas.openxmlformats.org/officeDocument/2006/bibliography"/>
  </ds:schemaRefs>
</ds:datastoreItem>
</file>

<file path=customXml/itemProps3.xml><?xml version="1.0" encoding="utf-8"?>
<ds:datastoreItem xmlns:ds="http://schemas.openxmlformats.org/officeDocument/2006/customXml" ds:itemID="{D9D32F53-5017-47DD-92CD-27A11D19DA37}">
  <ds:schemaRefs>
    <ds:schemaRef ds:uri="http://schemas.microsoft.com/sharepoint/v3/contenttype/forms"/>
  </ds:schemaRefs>
</ds:datastoreItem>
</file>

<file path=customXml/itemProps4.xml><?xml version="1.0" encoding="utf-8"?>
<ds:datastoreItem xmlns:ds="http://schemas.openxmlformats.org/officeDocument/2006/customXml" ds:itemID="{26FBDC35-6081-44BA-8051-CF39ABAB1D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Brüssel Aktuell 2023</Template>
  <TotalTime>0</TotalTime>
  <Pages>8</Pages>
  <Words>4444</Words>
  <Characters>25331</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Brüssel Aktuell</vt:lpstr>
    </vt:vector>
  </TitlesOfParts>
  <Company>Microsoft</Company>
  <LinksUpToDate>false</LinksUpToDate>
  <CharactersWithSpaces>29716</CharactersWithSpaces>
  <SharedDoc>false</SharedDoc>
  <HLinks>
    <vt:vector size="150" baseType="variant">
      <vt:variant>
        <vt:i4>6553711</vt:i4>
      </vt:variant>
      <vt:variant>
        <vt:i4>111</vt:i4>
      </vt:variant>
      <vt:variant>
        <vt:i4>0</vt:i4>
      </vt:variant>
      <vt:variant>
        <vt:i4>5</vt:i4>
      </vt:variant>
      <vt:variant>
        <vt:lpwstr>https://data.consilium.europa.eu/doc/document/ST-8086-2020-INIT/de/pdf</vt:lpwstr>
      </vt:variant>
      <vt:variant>
        <vt:lpwstr/>
      </vt:variant>
      <vt:variant>
        <vt:i4>3473446</vt:i4>
      </vt:variant>
      <vt:variant>
        <vt:i4>108</vt:i4>
      </vt:variant>
      <vt:variant>
        <vt:i4>0</vt:i4>
      </vt:variant>
      <vt:variant>
        <vt:i4>5</vt:i4>
      </vt:variant>
      <vt:variant>
        <vt:lpwstr>https://slovenian-presidency.consilium.europa.eu/media/qbthxbtz/programme-sl-presidency-de.pdf</vt:lpwstr>
      </vt:variant>
      <vt:variant>
        <vt:lpwstr/>
      </vt:variant>
      <vt:variant>
        <vt:i4>4980757</vt:i4>
      </vt:variant>
      <vt:variant>
        <vt:i4>105</vt:i4>
      </vt:variant>
      <vt:variant>
        <vt:i4>0</vt:i4>
      </vt:variant>
      <vt:variant>
        <vt:i4>5</vt:i4>
      </vt:variant>
      <vt:variant>
        <vt:lpwstr>https://slovenian-presidency.consilium.europa.eu/de/</vt:lpwstr>
      </vt:variant>
      <vt:variant>
        <vt:lpwstr/>
      </vt:variant>
      <vt:variant>
        <vt:i4>6553711</vt:i4>
      </vt:variant>
      <vt:variant>
        <vt:i4>102</vt:i4>
      </vt:variant>
      <vt:variant>
        <vt:i4>0</vt:i4>
      </vt:variant>
      <vt:variant>
        <vt:i4>5</vt:i4>
      </vt:variant>
      <vt:variant>
        <vt:lpwstr>https://data.consilium.europa.eu/doc/document/ST-8086-2020-INIT/de/pdf</vt:lpwstr>
      </vt:variant>
      <vt:variant>
        <vt:lpwstr/>
      </vt:variant>
      <vt:variant>
        <vt:i4>3473446</vt:i4>
      </vt:variant>
      <vt:variant>
        <vt:i4>99</vt:i4>
      </vt:variant>
      <vt:variant>
        <vt:i4>0</vt:i4>
      </vt:variant>
      <vt:variant>
        <vt:i4>5</vt:i4>
      </vt:variant>
      <vt:variant>
        <vt:lpwstr>https://slovenian-presidency.consilium.europa.eu/media/qbthxbtz/programme-sl-presidency-de.pdf</vt:lpwstr>
      </vt:variant>
      <vt:variant>
        <vt:lpwstr/>
      </vt:variant>
      <vt:variant>
        <vt:i4>4980757</vt:i4>
      </vt:variant>
      <vt:variant>
        <vt:i4>96</vt:i4>
      </vt:variant>
      <vt:variant>
        <vt:i4>0</vt:i4>
      </vt:variant>
      <vt:variant>
        <vt:i4>5</vt:i4>
      </vt:variant>
      <vt:variant>
        <vt:lpwstr>https://slovenian-presidency.consilium.europa.eu/de/</vt:lpwstr>
      </vt:variant>
      <vt:variant>
        <vt:lpwstr/>
      </vt:variant>
      <vt:variant>
        <vt:i4>1769531</vt:i4>
      </vt:variant>
      <vt:variant>
        <vt:i4>89</vt:i4>
      </vt:variant>
      <vt:variant>
        <vt:i4>0</vt:i4>
      </vt:variant>
      <vt:variant>
        <vt:i4>5</vt:i4>
      </vt:variant>
      <vt:variant>
        <vt:lpwstr/>
      </vt:variant>
      <vt:variant>
        <vt:lpwstr>_Toc49334680</vt:lpwstr>
      </vt:variant>
      <vt:variant>
        <vt:i4>1179700</vt:i4>
      </vt:variant>
      <vt:variant>
        <vt:i4>86</vt:i4>
      </vt:variant>
      <vt:variant>
        <vt:i4>0</vt:i4>
      </vt:variant>
      <vt:variant>
        <vt:i4>5</vt:i4>
      </vt:variant>
      <vt:variant>
        <vt:lpwstr/>
      </vt:variant>
      <vt:variant>
        <vt:lpwstr>_Toc49334679</vt:lpwstr>
      </vt:variant>
      <vt:variant>
        <vt:i4>1245236</vt:i4>
      </vt:variant>
      <vt:variant>
        <vt:i4>80</vt:i4>
      </vt:variant>
      <vt:variant>
        <vt:i4>0</vt:i4>
      </vt:variant>
      <vt:variant>
        <vt:i4>5</vt:i4>
      </vt:variant>
      <vt:variant>
        <vt:lpwstr/>
      </vt:variant>
      <vt:variant>
        <vt:lpwstr>_Toc49334678</vt:lpwstr>
      </vt:variant>
      <vt:variant>
        <vt:i4>1835060</vt:i4>
      </vt:variant>
      <vt:variant>
        <vt:i4>74</vt:i4>
      </vt:variant>
      <vt:variant>
        <vt:i4>0</vt:i4>
      </vt:variant>
      <vt:variant>
        <vt:i4>5</vt:i4>
      </vt:variant>
      <vt:variant>
        <vt:lpwstr/>
      </vt:variant>
      <vt:variant>
        <vt:lpwstr>_Toc49334677</vt:lpwstr>
      </vt:variant>
      <vt:variant>
        <vt:i4>1900596</vt:i4>
      </vt:variant>
      <vt:variant>
        <vt:i4>71</vt:i4>
      </vt:variant>
      <vt:variant>
        <vt:i4>0</vt:i4>
      </vt:variant>
      <vt:variant>
        <vt:i4>5</vt:i4>
      </vt:variant>
      <vt:variant>
        <vt:lpwstr/>
      </vt:variant>
      <vt:variant>
        <vt:lpwstr>_Toc49334676</vt:lpwstr>
      </vt:variant>
      <vt:variant>
        <vt:i4>1966132</vt:i4>
      </vt:variant>
      <vt:variant>
        <vt:i4>65</vt:i4>
      </vt:variant>
      <vt:variant>
        <vt:i4>0</vt:i4>
      </vt:variant>
      <vt:variant>
        <vt:i4>5</vt:i4>
      </vt:variant>
      <vt:variant>
        <vt:lpwstr/>
      </vt:variant>
      <vt:variant>
        <vt:lpwstr>_Toc49334675</vt:lpwstr>
      </vt:variant>
      <vt:variant>
        <vt:i4>2031668</vt:i4>
      </vt:variant>
      <vt:variant>
        <vt:i4>59</vt:i4>
      </vt:variant>
      <vt:variant>
        <vt:i4>0</vt:i4>
      </vt:variant>
      <vt:variant>
        <vt:i4>5</vt:i4>
      </vt:variant>
      <vt:variant>
        <vt:lpwstr/>
      </vt:variant>
      <vt:variant>
        <vt:lpwstr>_Toc49334674</vt:lpwstr>
      </vt:variant>
      <vt:variant>
        <vt:i4>1572916</vt:i4>
      </vt:variant>
      <vt:variant>
        <vt:i4>56</vt:i4>
      </vt:variant>
      <vt:variant>
        <vt:i4>0</vt:i4>
      </vt:variant>
      <vt:variant>
        <vt:i4>5</vt:i4>
      </vt:variant>
      <vt:variant>
        <vt:lpwstr/>
      </vt:variant>
      <vt:variant>
        <vt:lpwstr>_Toc49334673</vt:lpwstr>
      </vt:variant>
      <vt:variant>
        <vt:i4>1638452</vt:i4>
      </vt:variant>
      <vt:variant>
        <vt:i4>50</vt:i4>
      </vt:variant>
      <vt:variant>
        <vt:i4>0</vt:i4>
      </vt:variant>
      <vt:variant>
        <vt:i4>5</vt:i4>
      </vt:variant>
      <vt:variant>
        <vt:lpwstr/>
      </vt:variant>
      <vt:variant>
        <vt:lpwstr>_Toc49334672</vt:lpwstr>
      </vt:variant>
      <vt:variant>
        <vt:i4>1703988</vt:i4>
      </vt:variant>
      <vt:variant>
        <vt:i4>44</vt:i4>
      </vt:variant>
      <vt:variant>
        <vt:i4>0</vt:i4>
      </vt:variant>
      <vt:variant>
        <vt:i4>5</vt:i4>
      </vt:variant>
      <vt:variant>
        <vt:lpwstr/>
      </vt:variant>
      <vt:variant>
        <vt:lpwstr>_Toc49334671</vt:lpwstr>
      </vt:variant>
      <vt:variant>
        <vt:i4>1769524</vt:i4>
      </vt:variant>
      <vt:variant>
        <vt:i4>41</vt:i4>
      </vt:variant>
      <vt:variant>
        <vt:i4>0</vt:i4>
      </vt:variant>
      <vt:variant>
        <vt:i4>5</vt:i4>
      </vt:variant>
      <vt:variant>
        <vt:lpwstr/>
      </vt:variant>
      <vt:variant>
        <vt:lpwstr>_Toc49334670</vt:lpwstr>
      </vt:variant>
      <vt:variant>
        <vt:i4>1179701</vt:i4>
      </vt:variant>
      <vt:variant>
        <vt:i4>35</vt:i4>
      </vt:variant>
      <vt:variant>
        <vt:i4>0</vt:i4>
      </vt:variant>
      <vt:variant>
        <vt:i4>5</vt:i4>
      </vt:variant>
      <vt:variant>
        <vt:lpwstr/>
      </vt:variant>
      <vt:variant>
        <vt:lpwstr>_Toc49334669</vt:lpwstr>
      </vt:variant>
      <vt:variant>
        <vt:i4>1245237</vt:i4>
      </vt:variant>
      <vt:variant>
        <vt:i4>29</vt:i4>
      </vt:variant>
      <vt:variant>
        <vt:i4>0</vt:i4>
      </vt:variant>
      <vt:variant>
        <vt:i4>5</vt:i4>
      </vt:variant>
      <vt:variant>
        <vt:lpwstr/>
      </vt:variant>
      <vt:variant>
        <vt:lpwstr>_Toc49334668</vt:lpwstr>
      </vt:variant>
      <vt:variant>
        <vt:i4>1835061</vt:i4>
      </vt:variant>
      <vt:variant>
        <vt:i4>26</vt:i4>
      </vt:variant>
      <vt:variant>
        <vt:i4>0</vt:i4>
      </vt:variant>
      <vt:variant>
        <vt:i4>5</vt:i4>
      </vt:variant>
      <vt:variant>
        <vt:lpwstr/>
      </vt:variant>
      <vt:variant>
        <vt:lpwstr>_Toc49334667</vt:lpwstr>
      </vt:variant>
      <vt:variant>
        <vt:i4>1900597</vt:i4>
      </vt:variant>
      <vt:variant>
        <vt:i4>20</vt:i4>
      </vt:variant>
      <vt:variant>
        <vt:i4>0</vt:i4>
      </vt:variant>
      <vt:variant>
        <vt:i4>5</vt:i4>
      </vt:variant>
      <vt:variant>
        <vt:lpwstr/>
      </vt:variant>
      <vt:variant>
        <vt:lpwstr>_Toc49334666</vt:lpwstr>
      </vt:variant>
      <vt:variant>
        <vt:i4>1966133</vt:i4>
      </vt:variant>
      <vt:variant>
        <vt:i4>14</vt:i4>
      </vt:variant>
      <vt:variant>
        <vt:i4>0</vt:i4>
      </vt:variant>
      <vt:variant>
        <vt:i4>5</vt:i4>
      </vt:variant>
      <vt:variant>
        <vt:lpwstr/>
      </vt:variant>
      <vt:variant>
        <vt:lpwstr>_Toc49334665</vt:lpwstr>
      </vt:variant>
      <vt:variant>
        <vt:i4>2031669</vt:i4>
      </vt:variant>
      <vt:variant>
        <vt:i4>11</vt:i4>
      </vt:variant>
      <vt:variant>
        <vt:i4>0</vt:i4>
      </vt:variant>
      <vt:variant>
        <vt:i4>5</vt:i4>
      </vt:variant>
      <vt:variant>
        <vt:lpwstr/>
      </vt:variant>
      <vt:variant>
        <vt:lpwstr>_Toc49334664</vt:lpwstr>
      </vt:variant>
      <vt:variant>
        <vt:i4>1638453</vt:i4>
      </vt:variant>
      <vt:variant>
        <vt:i4>5</vt:i4>
      </vt:variant>
      <vt:variant>
        <vt:i4>0</vt:i4>
      </vt:variant>
      <vt:variant>
        <vt:i4>5</vt:i4>
      </vt:variant>
      <vt:variant>
        <vt:lpwstr/>
      </vt:variant>
      <vt:variant>
        <vt:lpwstr>_Toc49334662</vt:lpwstr>
      </vt:variant>
      <vt:variant>
        <vt:i4>1703989</vt:i4>
      </vt:variant>
      <vt:variant>
        <vt:i4>2</vt:i4>
      </vt:variant>
      <vt:variant>
        <vt:i4>0</vt:i4>
      </vt:variant>
      <vt:variant>
        <vt:i4>5</vt:i4>
      </vt:variant>
      <vt:variant>
        <vt:lpwstr/>
      </vt:variant>
      <vt:variant>
        <vt:lpwstr>_Toc49334661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Brüssel Aktuell</dc:title>
  <dc:subject/>
  <dc:creator>Nancy Petignot</dc:creator>
  <cp:keywords/>
  <cp:lastModifiedBy>Nancy Petignot</cp:lastModifiedBy>
  <cp:revision>20</cp:revision>
  <cp:lastPrinted>2023-06-09T08:52:00Z</cp:lastPrinted>
  <dcterms:created xsi:type="dcterms:W3CDTF">2023-06-07T11:56:00Z</dcterms:created>
  <dcterms:modified xsi:type="dcterms:W3CDTF">2023-06-09T09:12:00Z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0x0101005B131308DAB7BD4099B03BADD4293CE4</vt:lpwstr>
  </property>
</Properties>
</file>